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879" w:rsidRDefault="00CD685E">
      <w:pPr>
        <w:spacing w:after="150"/>
      </w:pPr>
      <w:bookmarkStart w:id="0" w:name="_GoBack"/>
      <w:bookmarkEnd w:id="0"/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6.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националним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мањина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 72/09, 20/14 – УС и 55/14),</w:t>
      </w:r>
    </w:p>
    <w:p w:rsidR="009F4879" w:rsidRDefault="00CD685E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9F4879" w:rsidRDefault="00CD685E">
      <w:pPr>
        <w:spacing w:after="150"/>
      </w:pPr>
      <w:r>
        <w:rPr>
          <w:color w:val="000000"/>
        </w:rPr>
        <w:t> </w:t>
      </w:r>
    </w:p>
    <w:p w:rsidR="009F4879" w:rsidRDefault="00CD685E">
      <w:pPr>
        <w:spacing w:after="225"/>
        <w:jc w:val="center"/>
      </w:pPr>
      <w:r>
        <w:rPr>
          <w:b/>
          <w:color w:val="000000"/>
        </w:rPr>
        <w:t>ПРАВИЛНИК</w:t>
      </w:r>
    </w:p>
    <w:p w:rsidR="009F4879" w:rsidRDefault="00CD685E">
      <w:pPr>
        <w:spacing w:after="150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начину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уписа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вођења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Регистра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националних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савета</w:t>
      </w:r>
      <w:proofErr w:type="spellEnd"/>
    </w:p>
    <w:p w:rsidR="009F4879" w:rsidRDefault="00CD685E">
      <w:pPr>
        <w:spacing w:after="15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72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14. </w:t>
      </w:r>
      <w:proofErr w:type="spellStart"/>
      <w:r>
        <w:rPr>
          <w:color w:val="000000"/>
        </w:rPr>
        <w:t>јула</w:t>
      </w:r>
      <w:proofErr w:type="spellEnd"/>
      <w:r>
        <w:rPr>
          <w:color w:val="000000"/>
        </w:rPr>
        <w:t xml:space="preserve"> 2014.</w:t>
      </w:r>
    </w:p>
    <w:p w:rsidR="009F4879" w:rsidRDefault="00CD685E">
      <w:pPr>
        <w:spacing w:after="150"/>
        <w:jc w:val="center"/>
      </w:pPr>
      <w:r>
        <w:rPr>
          <w:b/>
          <w:color w:val="000000"/>
        </w:rPr>
        <w:t> </w:t>
      </w:r>
    </w:p>
    <w:p w:rsidR="009F4879" w:rsidRDefault="00CD685E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9F4879" w:rsidRDefault="00CD685E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ближе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уписани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садржина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изглед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>.</w:t>
      </w:r>
    </w:p>
    <w:p w:rsidR="009F4879" w:rsidRDefault="00CD685E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9F4879" w:rsidRDefault="00CD685E">
      <w:pPr>
        <w:spacing w:after="150"/>
      </w:pP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књиге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тврдог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повеза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>.</w:t>
      </w:r>
    </w:p>
    <w:p w:rsidR="009F4879" w:rsidRDefault="00CD685E">
      <w:pPr>
        <w:spacing w:after="150"/>
      </w:pP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писаном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електронском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>.</w:t>
      </w:r>
    </w:p>
    <w:p w:rsidR="009F4879" w:rsidRDefault="00CD685E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9F4879" w:rsidRDefault="00CD685E">
      <w:pPr>
        <w:spacing w:after="150"/>
      </w:pP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књиге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тврдог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хоризонталног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формата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састоји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100 </w:t>
      </w:r>
      <w:proofErr w:type="spellStart"/>
      <w:r>
        <w:rPr>
          <w:color w:val="000000"/>
        </w:rPr>
        <w:t>истоветних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регистарских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израђених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боје</w:t>
      </w:r>
      <w:proofErr w:type="spellEnd"/>
      <w:r>
        <w:rPr>
          <w:color w:val="000000"/>
        </w:rPr>
        <w:t>.</w:t>
      </w:r>
    </w:p>
    <w:p w:rsidR="009F4879" w:rsidRDefault="00CD685E">
      <w:pPr>
        <w:spacing w:after="150"/>
      </w:pPr>
      <w:proofErr w:type="spellStart"/>
      <w:r>
        <w:rPr>
          <w:color w:val="000000"/>
        </w:rPr>
        <w:t>Регистарски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међусобно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повезане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величине</w:t>
      </w:r>
      <w:proofErr w:type="spellEnd"/>
      <w:r>
        <w:rPr>
          <w:color w:val="000000"/>
        </w:rPr>
        <w:t xml:space="preserve"> 400х300 mm.</w:t>
      </w:r>
    </w:p>
    <w:p w:rsidR="009F4879" w:rsidRDefault="00CD685E">
      <w:pPr>
        <w:spacing w:after="150"/>
      </w:pPr>
      <w:proofErr w:type="spellStart"/>
      <w:r>
        <w:rPr>
          <w:color w:val="000000"/>
        </w:rPr>
        <w:t>Регистарски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вертикалне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колоне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уписују</w:t>
      </w:r>
      <w:proofErr w:type="spellEnd"/>
      <w:r>
        <w:rPr>
          <w:color w:val="000000"/>
        </w:rPr>
        <w:t>:</w:t>
      </w:r>
    </w:p>
    <w:p w:rsidR="009F4879" w:rsidRDefault="00CD685E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редни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</w:t>
      </w:r>
      <w:proofErr w:type="spellEnd"/>
      <w:r>
        <w:rPr>
          <w:color w:val="000000"/>
        </w:rPr>
        <w:t>;</w:t>
      </w:r>
    </w:p>
    <w:p w:rsidR="009F4879" w:rsidRDefault="00CD685E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назив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мањине</w:t>
      </w:r>
      <w:proofErr w:type="spellEnd"/>
      <w:r>
        <w:rPr>
          <w:color w:val="000000"/>
        </w:rPr>
        <w:t>;</w:t>
      </w:r>
    </w:p>
    <w:p w:rsidR="009F4879" w:rsidRDefault="00CD685E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седиште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адреса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мањине</w:t>
      </w:r>
      <w:proofErr w:type="spellEnd"/>
      <w:r>
        <w:rPr>
          <w:color w:val="000000"/>
        </w:rPr>
        <w:t>;</w:t>
      </w:r>
    </w:p>
    <w:p w:rsidR="009F4879" w:rsidRDefault="00CD685E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одржавања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конститутивне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седнице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мањине</w:t>
      </w:r>
      <w:proofErr w:type="spellEnd"/>
      <w:r>
        <w:rPr>
          <w:color w:val="000000"/>
        </w:rPr>
        <w:t>;</w:t>
      </w:r>
    </w:p>
    <w:p w:rsidR="009F4879" w:rsidRDefault="00CD685E">
      <w:pPr>
        <w:spacing w:after="15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презиме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пребивалиште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јединствени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матични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председника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мањине</w:t>
      </w:r>
      <w:proofErr w:type="spellEnd"/>
      <w:r>
        <w:rPr>
          <w:color w:val="000000"/>
        </w:rPr>
        <w:t>;</w:t>
      </w:r>
    </w:p>
    <w:p w:rsidR="009F4879" w:rsidRDefault="00CD685E">
      <w:pPr>
        <w:spacing w:after="150"/>
      </w:pPr>
      <w:r>
        <w:rPr>
          <w:color w:val="000000"/>
        </w:rPr>
        <w:t xml:space="preserve">6)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статута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допуна</w:t>
      </w:r>
      <w:proofErr w:type="spellEnd"/>
      <w:r>
        <w:rPr>
          <w:color w:val="000000"/>
        </w:rPr>
        <w:t>;</w:t>
      </w:r>
    </w:p>
    <w:p w:rsidR="009F4879" w:rsidRDefault="00CD685E">
      <w:pPr>
        <w:spacing w:after="150"/>
      </w:pPr>
      <w:r>
        <w:rPr>
          <w:color w:val="000000"/>
        </w:rPr>
        <w:lastRenderedPageBreak/>
        <w:t xml:space="preserve">7)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упису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>;</w:t>
      </w:r>
    </w:p>
    <w:p w:rsidR="009F4879" w:rsidRDefault="00CD685E">
      <w:pPr>
        <w:spacing w:after="150"/>
      </w:pPr>
      <w:r>
        <w:rPr>
          <w:color w:val="000000"/>
        </w:rPr>
        <w:t xml:space="preserve">8)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промени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Регистру</w:t>
      </w:r>
      <w:proofErr w:type="spellEnd"/>
      <w:r>
        <w:rPr>
          <w:color w:val="000000"/>
        </w:rPr>
        <w:t>;</w:t>
      </w:r>
    </w:p>
    <w:p w:rsidR="009F4879" w:rsidRDefault="00CD685E">
      <w:pPr>
        <w:spacing w:after="150"/>
      </w:pPr>
      <w:r>
        <w:rPr>
          <w:color w:val="000000"/>
        </w:rPr>
        <w:t xml:space="preserve">9)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распуштању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мањине</w:t>
      </w:r>
      <w:proofErr w:type="spellEnd"/>
      <w:r>
        <w:rPr>
          <w:color w:val="000000"/>
        </w:rPr>
        <w:t>;</w:t>
      </w:r>
    </w:p>
    <w:p w:rsidR="009F4879" w:rsidRDefault="00CD685E">
      <w:pPr>
        <w:spacing w:after="150"/>
      </w:pPr>
      <w:r>
        <w:rPr>
          <w:color w:val="000000"/>
        </w:rPr>
        <w:t xml:space="preserve">10)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образовању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привременог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мањине</w:t>
      </w:r>
      <w:proofErr w:type="spellEnd"/>
      <w:r>
        <w:rPr>
          <w:color w:val="000000"/>
        </w:rPr>
        <w:t>;</w:t>
      </w:r>
    </w:p>
    <w:p w:rsidR="009F4879" w:rsidRDefault="00CD685E">
      <w:pPr>
        <w:spacing w:after="150"/>
      </w:pPr>
      <w:r>
        <w:rPr>
          <w:color w:val="000000"/>
        </w:rPr>
        <w:t xml:space="preserve">11)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брисању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</w:t>
      </w:r>
      <w:proofErr w:type="spellEnd"/>
      <w:r>
        <w:rPr>
          <w:color w:val="000000"/>
        </w:rPr>
        <w:t>;</w:t>
      </w:r>
    </w:p>
    <w:p w:rsidR="009F4879" w:rsidRDefault="00CD685E">
      <w:pPr>
        <w:spacing w:after="150"/>
      </w:pPr>
      <w:r>
        <w:rPr>
          <w:color w:val="000000"/>
        </w:rPr>
        <w:t xml:space="preserve">12) </w:t>
      </w:r>
      <w:proofErr w:type="spellStart"/>
      <w:r>
        <w:rPr>
          <w:color w:val="000000"/>
        </w:rPr>
        <w:t>напомена</w:t>
      </w:r>
      <w:proofErr w:type="spellEnd"/>
      <w:r>
        <w:rPr>
          <w:color w:val="000000"/>
        </w:rPr>
        <w:t>.</w:t>
      </w:r>
    </w:p>
    <w:p w:rsidR="009F4879" w:rsidRDefault="00CD685E">
      <w:pPr>
        <w:spacing w:after="150"/>
      </w:pPr>
      <w:proofErr w:type="spellStart"/>
      <w:r>
        <w:rPr>
          <w:color w:val="000000"/>
        </w:rPr>
        <w:t>Изглед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регистарског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Прилог</w:t>
      </w:r>
      <w:proofErr w:type="spellEnd"/>
      <w:r>
        <w:rPr>
          <w:color w:val="000000"/>
        </w:rPr>
        <w:t xml:space="preserve"> 1), </w:t>
      </w:r>
      <w:proofErr w:type="spellStart"/>
      <w:r>
        <w:rPr>
          <w:color w:val="000000"/>
        </w:rPr>
        <w:t>одштампан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>.</w:t>
      </w:r>
    </w:p>
    <w:p w:rsidR="009F4879" w:rsidRDefault="00CD685E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9F4879" w:rsidRDefault="00CD685E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корици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ненумерисаној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књиге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одштампан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књиге</w:t>
      </w:r>
      <w:proofErr w:type="spellEnd"/>
      <w:r>
        <w:rPr>
          <w:color w:val="000000"/>
        </w:rPr>
        <w:t>: „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” и </w:t>
      </w:r>
      <w:proofErr w:type="spellStart"/>
      <w:r>
        <w:rPr>
          <w:color w:val="000000"/>
        </w:rPr>
        <w:t>редни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књиге</w:t>
      </w:r>
      <w:proofErr w:type="spellEnd"/>
      <w:r>
        <w:rPr>
          <w:color w:val="000000"/>
        </w:rPr>
        <w:t>.</w:t>
      </w:r>
    </w:p>
    <w:p w:rsidR="009F4879" w:rsidRDefault="00CD685E">
      <w:pPr>
        <w:spacing w:after="150"/>
      </w:pPr>
      <w:proofErr w:type="spellStart"/>
      <w:r>
        <w:rPr>
          <w:color w:val="000000"/>
        </w:rPr>
        <w:t>Прва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ненумерисана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Регистрa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књиге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потписом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печатом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чијем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делокругу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људских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мањинских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>).</w:t>
      </w:r>
    </w:p>
    <w:p w:rsidR="009F4879" w:rsidRDefault="00CD685E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9F4879" w:rsidRDefault="00CD685E">
      <w:pPr>
        <w:spacing w:after="150"/>
      </w:pPr>
      <w:proofErr w:type="spellStart"/>
      <w:r>
        <w:rPr>
          <w:color w:val="000000"/>
        </w:rPr>
        <w:t>Уписивање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одговарајуће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регистарског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листа</w:t>
      </w:r>
      <w:proofErr w:type="spellEnd"/>
      <w:r>
        <w:rPr>
          <w:color w:val="000000"/>
        </w:rPr>
        <w:t>.</w:t>
      </w:r>
    </w:p>
    <w:p w:rsidR="009F4879" w:rsidRDefault="00CD685E">
      <w:pPr>
        <w:spacing w:after="150"/>
      </w:pP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читко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брисати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преправљати</w:t>
      </w:r>
      <w:proofErr w:type="spellEnd"/>
      <w:r>
        <w:rPr>
          <w:color w:val="000000"/>
        </w:rPr>
        <w:t>.</w:t>
      </w:r>
    </w:p>
    <w:p w:rsidR="009F4879" w:rsidRDefault="00CD685E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:rsidR="009F4879" w:rsidRDefault="00CD685E">
      <w:pPr>
        <w:spacing w:after="150"/>
      </w:pPr>
      <w:proofErr w:type="spellStart"/>
      <w:r>
        <w:rPr>
          <w:color w:val="000000"/>
        </w:rPr>
        <w:t>Мaњe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пoгрeшкe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испрaвљajу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прeцртaвaњeм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вoдoрaвнoм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цртoм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стaвљaњeм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пaрaфa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дaтумa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испрaвкe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Aкo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рaди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вeћим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пoгрeшкaмa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пoништaвa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прeцртaвaњeм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рeгистaрскoг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црвeнoм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кoсoм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цртoм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првoм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слoбoднoм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листу</w:t>
      </w:r>
      <w:proofErr w:type="spellEnd"/>
      <w:r>
        <w:rPr>
          <w:color w:val="000000"/>
        </w:rPr>
        <w:t>.</w:t>
      </w:r>
    </w:p>
    <w:p w:rsidR="009F4879" w:rsidRDefault="00CD685E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7.</w:t>
      </w:r>
    </w:p>
    <w:p w:rsidR="009F4879" w:rsidRDefault="00CD685E">
      <w:pPr>
        <w:spacing w:after="150"/>
      </w:pP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одговарајућу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колону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довољан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слободном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регистарском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листу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регистарског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Након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претходног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регистарског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прецртава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косом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црвеном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линијом</w:t>
      </w:r>
      <w:proofErr w:type="spellEnd"/>
      <w:r>
        <w:rPr>
          <w:color w:val="000000"/>
        </w:rPr>
        <w:t>.</w:t>
      </w:r>
    </w:p>
    <w:p w:rsidR="009F4879" w:rsidRDefault="00CD685E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регистарском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попуњава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колона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Напомена</w:t>
      </w:r>
      <w:proofErr w:type="spellEnd"/>
      <w:r>
        <w:rPr>
          <w:color w:val="000000"/>
        </w:rPr>
        <w:t xml:space="preserve">” у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регистарском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претходног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</w:t>
      </w:r>
      <w:proofErr w:type="spellEnd"/>
      <w:r>
        <w:rPr>
          <w:color w:val="000000"/>
        </w:rPr>
        <w:t>.</w:t>
      </w:r>
    </w:p>
    <w:p w:rsidR="009F4879" w:rsidRDefault="00CD685E">
      <w:pPr>
        <w:spacing w:after="120"/>
        <w:jc w:val="center"/>
      </w:pPr>
      <w:proofErr w:type="spellStart"/>
      <w:r>
        <w:rPr>
          <w:color w:val="000000"/>
        </w:rPr>
        <w:lastRenderedPageBreak/>
        <w:t>Члан</w:t>
      </w:r>
      <w:proofErr w:type="spellEnd"/>
      <w:r>
        <w:rPr>
          <w:color w:val="000000"/>
        </w:rPr>
        <w:t xml:space="preserve"> 8.</w:t>
      </w:r>
    </w:p>
    <w:p w:rsidR="009F4879" w:rsidRDefault="00CD685E">
      <w:pPr>
        <w:spacing w:after="150"/>
      </w:pPr>
      <w:proofErr w:type="spellStart"/>
      <w:r>
        <w:rPr>
          <w:color w:val="000000"/>
        </w:rPr>
        <w:t>Упис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мањине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национални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</w:t>
      </w:r>
      <w:proofErr w:type="spellEnd"/>
      <w:r>
        <w:rPr>
          <w:color w:val="000000"/>
        </w:rPr>
        <w:t xml:space="preserve">) у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</w:t>
      </w:r>
      <w:proofErr w:type="spellEnd"/>
      <w:r>
        <w:rPr>
          <w:color w:val="000000"/>
        </w:rPr>
        <w:t>.</w:t>
      </w:r>
    </w:p>
    <w:p w:rsidR="009F4879" w:rsidRDefault="00CD685E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одговарајуће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регистарског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националном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упису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>.</w:t>
      </w:r>
    </w:p>
    <w:p w:rsidR="009F4879" w:rsidRDefault="00CD685E">
      <w:pPr>
        <w:spacing w:after="150"/>
      </w:pPr>
      <w:proofErr w:type="spellStart"/>
      <w:r>
        <w:rPr>
          <w:color w:val="000000"/>
        </w:rPr>
        <w:t>Пријава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одштампана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1).</w:t>
      </w:r>
    </w:p>
    <w:p w:rsidR="009F4879" w:rsidRDefault="00CD685E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9.</w:t>
      </w:r>
    </w:p>
    <w:p w:rsidR="009F4879" w:rsidRDefault="00CD685E">
      <w:pPr>
        <w:spacing w:after="150"/>
      </w:pP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подносе</w:t>
      </w:r>
      <w:proofErr w:type="spellEnd"/>
      <w:r>
        <w:rPr>
          <w:color w:val="000000"/>
        </w:rPr>
        <w:t>:</w:t>
      </w:r>
    </w:p>
    <w:p w:rsidR="009F4879" w:rsidRDefault="00CD685E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записник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седнице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конституисан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сазив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>;</w:t>
      </w:r>
    </w:p>
    <w:p w:rsidR="009F4879" w:rsidRDefault="00CD685E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два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примерка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статута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>;</w:t>
      </w:r>
    </w:p>
    <w:p w:rsidR="009F4879" w:rsidRDefault="00CD685E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избору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председника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>;</w:t>
      </w:r>
    </w:p>
    <w:p w:rsidR="009F4879" w:rsidRDefault="00CD685E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оверена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фотокопија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председника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пребивалишту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адреси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потврду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пребивалишту</w:t>
      </w:r>
      <w:proofErr w:type="spellEnd"/>
      <w:r>
        <w:rPr>
          <w:color w:val="000000"/>
        </w:rPr>
        <w:t>;</w:t>
      </w:r>
    </w:p>
    <w:p w:rsidR="009F4879" w:rsidRDefault="00CD685E">
      <w:pPr>
        <w:spacing w:after="15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доказ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уплати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административне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административне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таксе</w:t>
      </w:r>
      <w:proofErr w:type="spellEnd"/>
      <w:r>
        <w:rPr>
          <w:color w:val="000000"/>
        </w:rPr>
        <w:t>.</w:t>
      </w:r>
    </w:p>
    <w:p w:rsidR="009F4879" w:rsidRDefault="00CD685E">
      <w:pPr>
        <w:spacing w:after="150"/>
      </w:pP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уписују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садржаним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актима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документима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>.</w:t>
      </w:r>
    </w:p>
    <w:p w:rsidR="009F4879" w:rsidRDefault="00CD685E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10.</w:t>
      </w:r>
    </w:p>
    <w:p w:rsidR="009F4879" w:rsidRDefault="00CD685E">
      <w:pPr>
        <w:spacing w:after="150"/>
      </w:pPr>
      <w:proofErr w:type="spellStart"/>
      <w:r>
        <w:rPr>
          <w:color w:val="000000"/>
        </w:rPr>
        <w:t>Упис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упису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Регистру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одговарајућу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колону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регистарског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промени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Регистру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податак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мења</w:t>
      </w:r>
      <w:proofErr w:type="spellEnd"/>
      <w:r>
        <w:rPr>
          <w:color w:val="000000"/>
        </w:rPr>
        <w:t>.</w:t>
      </w:r>
    </w:p>
    <w:p w:rsidR="009F4879" w:rsidRDefault="00CD685E">
      <w:pPr>
        <w:spacing w:after="150"/>
      </w:pPr>
      <w:proofErr w:type="spellStart"/>
      <w:r>
        <w:rPr>
          <w:color w:val="000000"/>
        </w:rPr>
        <w:t>Истовремено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одговарајућу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колону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регистарског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непосредно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последњег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прецртава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косом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црвеном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линијом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</w:t>
      </w:r>
      <w:proofErr w:type="spellEnd"/>
      <w:r>
        <w:rPr>
          <w:color w:val="000000"/>
        </w:rPr>
        <w:t>.</w:t>
      </w:r>
    </w:p>
    <w:p w:rsidR="009F4879" w:rsidRDefault="00CD685E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11.</w:t>
      </w:r>
    </w:p>
    <w:p w:rsidR="009F4879" w:rsidRDefault="00CD685E">
      <w:pPr>
        <w:spacing w:after="150"/>
      </w:pP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</w:t>
      </w:r>
      <w:proofErr w:type="spellEnd"/>
      <w:r>
        <w:rPr>
          <w:color w:val="000000"/>
        </w:rPr>
        <w:t>:</w:t>
      </w:r>
    </w:p>
    <w:p w:rsidR="009F4879" w:rsidRDefault="00CD685E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записник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седнице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промени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изворнику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овереном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препису</w:t>
      </w:r>
      <w:proofErr w:type="spellEnd"/>
      <w:r>
        <w:rPr>
          <w:color w:val="000000"/>
        </w:rPr>
        <w:t>;</w:t>
      </w:r>
    </w:p>
    <w:p w:rsidR="009F4879" w:rsidRDefault="00CD685E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промени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>;</w:t>
      </w:r>
    </w:p>
    <w:p w:rsidR="009F4879" w:rsidRDefault="00CD685E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доказ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промени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>;</w:t>
      </w:r>
    </w:p>
    <w:p w:rsidR="009F4879" w:rsidRDefault="00CD685E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доказ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уплати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административне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административне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таксе</w:t>
      </w:r>
      <w:proofErr w:type="spellEnd"/>
      <w:r>
        <w:rPr>
          <w:color w:val="000000"/>
        </w:rPr>
        <w:t>.</w:t>
      </w:r>
    </w:p>
    <w:p w:rsidR="009F4879" w:rsidRDefault="00CD685E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12.</w:t>
      </w:r>
    </w:p>
    <w:p w:rsidR="009F4879" w:rsidRDefault="00CD685E">
      <w:pPr>
        <w:spacing w:after="150"/>
      </w:pPr>
      <w:proofErr w:type="spellStart"/>
      <w:r>
        <w:rPr>
          <w:color w:val="000000"/>
        </w:rPr>
        <w:t>Брисање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брисању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одговарајућу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колону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регистарског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брисању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</w:t>
      </w:r>
      <w:proofErr w:type="spellEnd"/>
      <w:r>
        <w:rPr>
          <w:color w:val="000000"/>
        </w:rPr>
        <w:t xml:space="preserve">, a </w:t>
      </w:r>
      <w:proofErr w:type="spellStart"/>
      <w:r>
        <w:rPr>
          <w:color w:val="000000"/>
        </w:rPr>
        <w:t>пoслe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тoгa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рeгистaрски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кojи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oднoси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прeцртaвa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црвeнe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кoсe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цртe</w:t>
      </w:r>
      <w:proofErr w:type="spellEnd"/>
      <w:r>
        <w:rPr>
          <w:color w:val="000000"/>
        </w:rPr>
        <w:t>.</w:t>
      </w:r>
    </w:p>
    <w:p w:rsidR="009F4879" w:rsidRDefault="00CD685E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13.</w:t>
      </w:r>
    </w:p>
    <w:p w:rsidR="009F4879" w:rsidRDefault="00CD685E">
      <w:pPr>
        <w:spacing w:after="150"/>
      </w:pPr>
      <w:proofErr w:type="spellStart"/>
      <w:r>
        <w:rPr>
          <w:color w:val="000000"/>
        </w:rPr>
        <w:t>Распуштање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образовање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привременог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распуштању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образовању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привременог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одговарајуће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регистарског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броју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датуму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распуштању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броју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датуму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привремени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>.</w:t>
      </w:r>
    </w:p>
    <w:p w:rsidR="009F4879" w:rsidRDefault="00CD685E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14.</w:t>
      </w:r>
    </w:p>
    <w:p w:rsidR="009F4879" w:rsidRDefault="00CD685E">
      <w:pPr>
        <w:spacing w:after="150"/>
      </w:pP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уписани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одредбама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ускладиће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90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>.</w:t>
      </w:r>
    </w:p>
    <w:p w:rsidR="009F4879" w:rsidRDefault="00CD685E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15.</w:t>
      </w:r>
    </w:p>
    <w:p w:rsidR="009F4879" w:rsidRDefault="00CD685E">
      <w:pPr>
        <w:spacing w:after="150"/>
      </w:pPr>
      <w:proofErr w:type="spellStart"/>
      <w:r>
        <w:rPr>
          <w:color w:val="000000"/>
        </w:rPr>
        <w:t>Даном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почетка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престаје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садржини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начину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мањина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91/09).</w:t>
      </w:r>
    </w:p>
    <w:p w:rsidR="009F4879" w:rsidRDefault="00CD685E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16.</w:t>
      </w:r>
    </w:p>
    <w:p w:rsidR="009F4879" w:rsidRDefault="00CD685E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9F4879" w:rsidRDefault="00CD685E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110-00-50/2014-17</w:t>
      </w:r>
    </w:p>
    <w:p w:rsidR="009F4879" w:rsidRDefault="00CD685E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10. </w:t>
      </w:r>
      <w:proofErr w:type="spellStart"/>
      <w:r>
        <w:rPr>
          <w:color w:val="000000"/>
        </w:rPr>
        <w:t>јула</w:t>
      </w:r>
      <w:proofErr w:type="spellEnd"/>
      <w:r>
        <w:rPr>
          <w:color w:val="000000"/>
        </w:rPr>
        <w:t xml:space="preserve"> 2014. </w:t>
      </w:r>
      <w:proofErr w:type="spellStart"/>
      <w:r>
        <w:rPr>
          <w:color w:val="000000"/>
        </w:rPr>
        <w:t>године</w:t>
      </w:r>
      <w:proofErr w:type="spellEnd"/>
    </w:p>
    <w:p w:rsidR="009F4879" w:rsidRDefault="00CD685E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9F4879" w:rsidRDefault="00CD685E">
      <w:pPr>
        <w:spacing w:after="150"/>
        <w:jc w:val="right"/>
      </w:pP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Кори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Удовички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9F4879" w:rsidRDefault="00CD685E">
      <w:pPr>
        <w:spacing w:after="150"/>
        <w:jc w:val="right"/>
      </w:pPr>
      <w:r>
        <w:rPr>
          <w:color w:val="000000"/>
        </w:rPr>
        <w:t> </w:t>
      </w:r>
    </w:p>
    <w:p w:rsidR="009F4879" w:rsidRDefault="00CD685E">
      <w:pPr>
        <w:spacing w:after="150"/>
        <w:jc w:val="right"/>
      </w:pPr>
      <w:r>
        <w:rPr>
          <w:b/>
          <w:color w:val="000000"/>
        </w:rPr>
        <w:t>ПРИЛОЗИ</w:t>
      </w:r>
    </w:p>
    <w:p w:rsidR="009F4879" w:rsidRDefault="00CD685E">
      <w:pPr>
        <w:spacing w:after="150"/>
      </w:pPr>
      <w:r>
        <w:rPr>
          <w:color w:val="000000"/>
        </w:rPr>
        <w:t> </w:t>
      </w:r>
    </w:p>
    <w:p w:rsidR="009F4879" w:rsidRDefault="00CD685E">
      <w:pPr>
        <w:spacing w:after="150"/>
        <w:jc w:val="center"/>
      </w:pPr>
      <w:r>
        <w:rPr>
          <w:color w:val="000000"/>
        </w:rPr>
        <w:t> </w:t>
      </w:r>
    </w:p>
    <w:p w:rsidR="00CD685E" w:rsidRDefault="00CD685E">
      <w:pPr>
        <w:spacing w:after="150"/>
        <w:jc w:val="center"/>
        <w:rPr>
          <w:color w:val="000000"/>
        </w:rPr>
      </w:pPr>
      <w:r>
        <w:rPr>
          <w:noProof/>
          <w:lang w:val="sr-Latn-RS" w:eastAsia="sr-Latn-RS"/>
        </w:rPr>
        <w:drawing>
          <wp:inline distT="0" distB="0" distL="0" distR="0" wp14:anchorId="5CA3D98A" wp14:editId="39E64852">
            <wp:extent cx="5534025" cy="8658225"/>
            <wp:effectExtent l="0" t="0" r="9525" b="9525"/>
            <wp:docPr id="1" name="Picture 1" descr="https://www.pravno-informacioni-sistem.rs/SlGlasnikPortal/slike/prilog1.gif&amp;regactid=423613&amp;abc=cba&amp;doctype=r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avno-informacioni-sistem.rs/SlGlasnikPortal/slike/prilog1.gif&amp;regactid=423613&amp;abc=cba&amp;doctype=r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85E" w:rsidRDefault="00CD685E">
      <w:pPr>
        <w:spacing w:after="150"/>
        <w:jc w:val="center"/>
        <w:rPr>
          <w:color w:val="000000"/>
        </w:rPr>
      </w:pPr>
      <w:r>
        <w:rPr>
          <w:noProof/>
          <w:lang w:val="sr-Latn-RS" w:eastAsia="sr-Latn-RS"/>
        </w:rPr>
        <w:drawing>
          <wp:inline distT="0" distB="0" distL="0" distR="0" wp14:anchorId="263A6493" wp14:editId="6030559D">
            <wp:extent cx="6057900" cy="8067675"/>
            <wp:effectExtent l="0" t="0" r="0" b="0"/>
            <wp:docPr id="2" name="Picture 2" descr="https://www.pravno-informacioni-sistem.rs/SlGlasnikPortal/slike/prilog2.gif&amp;regactid=423613&amp;abc=cba&amp;doctype=r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avno-informacioni-sistem.rs/SlGlasnikPortal/slike/prilog2.gif&amp;regactid=423613&amp;abc=cba&amp;doctype=r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665" cy="807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879" w:rsidRDefault="00CD685E">
      <w:pPr>
        <w:spacing w:after="150"/>
        <w:jc w:val="center"/>
      </w:pPr>
      <w:r>
        <w:rPr>
          <w:color w:val="000000"/>
        </w:rPr>
        <w:t> </w:t>
      </w:r>
    </w:p>
    <w:sectPr w:rsidR="009F48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879"/>
    <w:rsid w:val="009F4879"/>
    <w:rsid w:val="00CD685E"/>
    <w:rsid w:val="00FE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  <w:style w:type="paragraph" w:styleId="BalloonText">
    <w:name w:val="Balloon Text"/>
    <w:basedOn w:val="Normal"/>
    <w:link w:val="BalloonTextChar"/>
    <w:uiPriority w:val="99"/>
    <w:semiHidden/>
    <w:unhideWhenUsed/>
    <w:rsid w:val="00CD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  <w:style w:type="paragraph" w:styleId="BalloonText">
    <w:name w:val="Balloon Text"/>
    <w:basedOn w:val="Normal"/>
    <w:link w:val="BalloonTextChar"/>
    <w:uiPriority w:val="99"/>
    <w:semiHidden/>
    <w:unhideWhenUsed/>
    <w:rsid w:val="00CD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Stošić</dc:creator>
  <cp:lastModifiedBy>Tatjana Sadiki</cp:lastModifiedBy>
  <cp:revision>2</cp:revision>
  <dcterms:created xsi:type="dcterms:W3CDTF">2018-08-15T07:38:00Z</dcterms:created>
  <dcterms:modified xsi:type="dcterms:W3CDTF">2018-08-15T07:38:00Z</dcterms:modified>
</cp:coreProperties>
</file>