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AF" w:rsidRPr="00B167CD" w:rsidRDefault="00FD04AF" w:rsidP="00EF6C8F">
      <w:pPr>
        <w:spacing w:after="120" w:line="240" w:lineRule="exact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A tartományi közigazgatásról szóló tartományi képviselőházi rendelet (Vajdaság AT Hivatalos Lapja, 34/2014., 54/2014. szám – más jogszabály, 37/2016., 29/2017., 24/2019., 66/2020., 38/2021. és 22/2025. szám) 37. szakaszának 12. bekezdése alapján, továbbá a Vajdaság Autonóm Tartomány hatásköreinek meghatározásáról szóló törvény (az SZK Hivatalos Közlönye, 99/2009., 67/2012. szám – az SZK AB IUz-353/09. számú határozata, 18/2020. szám – más törvény és 111/2021. szám – más törvény) 79. szakaszával és Az állandó bírósági tolmácsokról szóló szabályzat (az SZK Hivatalos Közlönye, 35/2010., 80/2016. és 7/2017. szám) 2. szakaszának 2. bekezdésével összhangban, a tartományi oktatási, jogalkotási, közigazgatási és nemzeti kisebbségi </w:t>
      </w:r>
      <w:r w:rsidR="008F4F27">
        <w:rPr>
          <w:rFonts w:asciiTheme="minorHAnsi" w:hAnsiTheme="minorHAnsi" w:cstheme="minorHAnsi"/>
          <w:sz w:val="22"/>
          <w:szCs w:val="22"/>
          <w:lang w:val="hu-HU"/>
        </w:rPr>
        <w:t>–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 nemzeti</w:t>
      </w:r>
      <w:r w:rsidR="008F4F27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>közösségi titkár</w:t>
      </w:r>
    </w:p>
    <w:p w:rsidR="00EF6C8F" w:rsidRPr="00B167CD" w:rsidRDefault="00EF6C8F" w:rsidP="00EF6C8F">
      <w:pPr>
        <w:spacing w:after="120" w:line="240" w:lineRule="exact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</w:p>
    <w:p w:rsidR="00FD04AF" w:rsidRPr="00FD04AF" w:rsidRDefault="002A02B0" w:rsidP="002A02B0">
      <w:pPr>
        <w:jc w:val="center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sz w:val="22"/>
          <w:szCs w:val="22"/>
          <w:lang w:val="hu-HU"/>
        </w:rPr>
        <w:t>FELHÍVÁST</w:t>
      </w:r>
    </w:p>
    <w:p w:rsidR="00FD04AF" w:rsidRPr="008F4F27" w:rsidRDefault="00FD04AF" w:rsidP="008F4F2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FD04AF">
        <w:rPr>
          <w:rFonts w:asciiTheme="minorHAnsi" w:hAnsiTheme="minorHAnsi" w:cstheme="minorHAnsi"/>
          <w:sz w:val="22"/>
          <w:szCs w:val="22"/>
          <w:lang w:val="hu-HU"/>
        </w:rPr>
        <w:t>tesz közzé</w:t>
      </w:r>
    </w:p>
    <w:p w:rsidR="00FD04AF" w:rsidRPr="00B167CD" w:rsidRDefault="00FD04AF" w:rsidP="00D00A60">
      <w:pPr>
        <w:jc w:val="center"/>
        <w:rPr>
          <w:rFonts w:asciiTheme="minorHAnsi" w:hAnsiTheme="minorHAnsi" w:cstheme="minorHAnsi"/>
          <w:b/>
          <w:noProof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VAJDASÁG AU</w:t>
      </w:r>
      <w:r w:rsidR="00E65C25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TONÓM TARTOMÁNYBAN MŰKÖDŐ FELSŐ</w:t>
      </w:r>
      <w:r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BÍRÓSÁGOK TERÜLETÉRE ÁLLANDÓ BÍRÓSÁGI FORDÍTÓK KINEVEZÉSÉRE</w:t>
      </w:r>
    </w:p>
    <w:p w:rsidR="00D00A60" w:rsidRPr="00B167CD" w:rsidRDefault="00D00A60" w:rsidP="00980019">
      <w:pPr>
        <w:spacing w:after="120"/>
        <w:jc w:val="center"/>
        <w:rPr>
          <w:rFonts w:asciiTheme="minorHAnsi" w:hAnsiTheme="minorHAnsi" w:cstheme="minorHAnsi"/>
          <w:b/>
          <w:noProof/>
          <w:sz w:val="22"/>
          <w:szCs w:val="22"/>
          <w:lang w:val="hu-HU"/>
        </w:rPr>
      </w:pPr>
    </w:p>
    <w:p w:rsidR="00980019" w:rsidRPr="00B167CD" w:rsidRDefault="00980019" w:rsidP="00980019">
      <w:pPr>
        <w:spacing w:after="120"/>
        <w:jc w:val="center"/>
        <w:rPr>
          <w:rFonts w:asciiTheme="minorHAnsi" w:hAnsiTheme="minorHAnsi" w:cstheme="minorHAnsi"/>
          <w:b/>
          <w:noProof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I</w:t>
      </w:r>
      <w:r w:rsidR="00FD04AF"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.</w:t>
      </w:r>
    </w:p>
    <w:p w:rsidR="00FD04AF" w:rsidRPr="00B167CD" w:rsidRDefault="00FD04AF" w:rsidP="00980019">
      <w:pPr>
        <w:spacing w:after="120"/>
        <w:ind w:right="3"/>
        <w:jc w:val="both"/>
        <w:rPr>
          <w:rFonts w:asciiTheme="minorHAnsi" w:hAnsiTheme="minorHAnsi" w:cstheme="minorHAnsi"/>
          <w:noProof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A tartományi oktatási, jogalkotási, közigazgatási és nemzeti kisebbségi </w:t>
      </w:r>
      <w:r w:rsidR="00B167CD">
        <w:rPr>
          <w:rFonts w:asciiTheme="minorHAnsi" w:hAnsiTheme="minorHAnsi" w:cstheme="minorHAnsi"/>
          <w:sz w:val="22"/>
          <w:szCs w:val="22"/>
          <w:lang w:val="hu-HU"/>
        </w:rPr>
        <w:t>–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 nemz</w:t>
      </w:r>
      <w:r w:rsidR="002A02B0" w:rsidRPr="00B167CD">
        <w:rPr>
          <w:rFonts w:asciiTheme="minorHAnsi" w:hAnsiTheme="minorHAnsi" w:cstheme="minorHAnsi"/>
          <w:sz w:val="22"/>
          <w:szCs w:val="22"/>
          <w:lang w:val="hu-HU"/>
        </w:rPr>
        <w:t>eti</w:t>
      </w:r>
      <w:r w:rsidR="00B16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2A02B0" w:rsidRPr="00B167CD">
        <w:rPr>
          <w:rFonts w:asciiTheme="minorHAnsi" w:hAnsiTheme="minorHAnsi" w:cstheme="minorHAnsi"/>
          <w:sz w:val="22"/>
          <w:szCs w:val="22"/>
          <w:lang w:val="hu-HU"/>
        </w:rPr>
        <w:t>közösségi titkár felhívást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 tesz közzé állandó bírósági fordítók kinevezésére az alábbi bíróságok területére:</w:t>
      </w:r>
    </w:p>
    <w:p w:rsidR="00980019" w:rsidRPr="00B167CD" w:rsidRDefault="00E65C25" w:rsidP="0098001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noProof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hu-HU"/>
        </w:rPr>
        <w:t>Újvidéki Felsőb</w:t>
      </w:r>
      <w:r w:rsidR="00ED5C57"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íróság</w:t>
      </w:r>
      <w:r w:rsidR="00980019"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:</w:t>
      </w:r>
    </w:p>
    <w:p w:rsidR="00980019" w:rsidRPr="00B167CD" w:rsidRDefault="00ED5C57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albán nyelv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–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2</w:t>
      </w:r>
      <w:r w:rsidR="00ED2FAB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;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török nyelv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–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2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és horvát nyelv</w:t>
      </w:r>
      <w:r w:rsidR="00ED2FAB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1.</w:t>
      </w:r>
    </w:p>
    <w:p w:rsidR="00980019" w:rsidRPr="00B167CD" w:rsidRDefault="00E65C25" w:rsidP="0098001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Nagybecskereki Felsőb</w:t>
      </w:r>
      <w:r w:rsidR="00ED5C57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íróság</w:t>
      </w:r>
      <w:r w:rsidR="00980019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:</w:t>
      </w:r>
    </w:p>
    <w:p w:rsidR="00980019" w:rsidRPr="00B167CD" w:rsidRDefault="00ED5C57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angol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francia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görög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1;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olasz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kínai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3;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magyar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macedón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német nyelv</w:t>
      </w:r>
      <w:r w:rsidR="001E25B7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roma nyelv</w:t>
      </w:r>
      <w:r w:rsidR="00B7048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és</w:t>
      </w:r>
      <w:r w:rsidR="00B7048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spanyol nyelv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B7048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–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B7048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1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.</w:t>
      </w:r>
    </w:p>
    <w:p w:rsidR="00980019" w:rsidRPr="00B167CD" w:rsidRDefault="00E65C25" w:rsidP="0098001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noProof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hu-HU"/>
        </w:rPr>
        <w:t>Szabadkai Felsőb</w:t>
      </w:r>
      <w:r w:rsidR="00ED5C57"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íróság</w:t>
      </w:r>
      <w:r w:rsidR="00980019" w:rsidRPr="00B167CD">
        <w:rPr>
          <w:rFonts w:asciiTheme="minorHAnsi" w:hAnsiTheme="minorHAnsi" w:cstheme="minorHAnsi"/>
          <w:b/>
          <w:noProof/>
          <w:sz w:val="22"/>
          <w:szCs w:val="22"/>
          <w:lang w:val="hu-HU"/>
        </w:rPr>
        <w:t>:</w:t>
      </w:r>
    </w:p>
    <w:p w:rsidR="00980019" w:rsidRPr="00B167CD" w:rsidRDefault="00ED5C57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albán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bolgár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bunyevác nyelv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–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1,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fárszi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1;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magyar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német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pastu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orosz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1;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szlovák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török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</w:t>
      </w:r>
      <w:r w:rsidR="00ED2FAB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;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urdu nyelv</w:t>
      </w:r>
      <w:r w:rsidR="00D4509C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</w:t>
      </w:r>
      <w:r w:rsidR="008C2D11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és horvát nyelv</w:t>
      </w:r>
      <w:r w:rsidR="00ED2FAB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.</w:t>
      </w:r>
    </w:p>
    <w:p w:rsidR="00980019" w:rsidRPr="00B167CD" w:rsidRDefault="00E65C25" w:rsidP="0098001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Zombori Felsőb</w:t>
      </w:r>
      <w:r w:rsidR="008C2D11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íróság</w:t>
      </w:r>
      <w:r w:rsidR="00980019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:</w:t>
      </w:r>
    </w:p>
    <w:p w:rsidR="00980019" w:rsidRPr="00B167CD" w:rsidRDefault="004C145C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arab nyelv – 1, angol nyelv</w:t>
      </w:r>
      <w:r w:rsidR="00FB215A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4;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francia nyelv – 2, olasz nyelv – 2, kínai nyelv – 3, magyar nyelv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– 4, német nyelv – 2, lengyel nyelv – 1, roma nyelv – 1, ruszin nyelv – 1, orosz nyelv – 3, szlovák nyelv</w:t>
      </w:r>
      <w:r w:rsidR="00ED1E38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2;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szlovén nyelv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="00ED1E38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–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1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, spanyol nyelv – 1 és ukrán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</w:t>
      </w:r>
      <w:r w:rsidR="00980019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.</w:t>
      </w:r>
    </w:p>
    <w:p w:rsidR="00980019" w:rsidRPr="00B167CD" w:rsidRDefault="00E65C25" w:rsidP="0098001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Mitrovicai Felsőb</w:t>
      </w:r>
      <w:r w:rsidR="004C145C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íróság</w:t>
      </w:r>
      <w:r w:rsidR="00980019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:</w:t>
      </w:r>
    </w:p>
    <w:p w:rsidR="0001266E" w:rsidRPr="00B167CD" w:rsidRDefault="0001266E" w:rsidP="0001266E">
      <w:pPr>
        <w:pStyle w:val="ListParagraph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</w:p>
    <w:p w:rsidR="0001266E" w:rsidRPr="00B167CD" w:rsidRDefault="004C145C" w:rsidP="0001266E">
      <w:pPr>
        <w:pStyle w:val="ListParagraph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albán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arab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bolgár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angol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2;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fárszi nyelv – 1, francia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görög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olasz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, német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pastu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lengyel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1, </w:t>
      </w:r>
      <w:r w:rsidR="008F4F27">
        <w:rPr>
          <w:rFonts w:asciiTheme="minorHAnsi" w:hAnsiTheme="minorHAnsi" w:cstheme="minorHAnsi"/>
          <w:color w:val="000000"/>
          <w:sz w:val="22"/>
          <w:szCs w:val="22"/>
          <w:lang w:val="hu-HU"/>
        </w:rPr>
        <w:t>román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nyelv – 1, orosz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1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, spanyol nyelv – 1 és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török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2.</w:t>
      </w:r>
    </w:p>
    <w:p w:rsidR="0001266E" w:rsidRPr="00B167CD" w:rsidRDefault="0001266E" w:rsidP="0001266E">
      <w:pPr>
        <w:pStyle w:val="ListParagraph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</w:p>
    <w:p w:rsidR="00907FC6" w:rsidRPr="00B167CD" w:rsidRDefault="00E65C25" w:rsidP="00907FC6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Pancsovai Felsőb</w:t>
      </w:r>
      <w:r w:rsidR="001C7FE3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íróság</w:t>
      </w:r>
      <w:r w:rsidR="00907FC6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:</w:t>
      </w:r>
    </w:p>
    <w:p w:rsidR="00907FC6" w:rsidRPr="00B167CD" w:rsidRDefault="001C7FE3" w:rsidP="00907FC6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angol nyelv</w:t>
      </w:r>
      <w:r w:rsidR="00907FC6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– </w:t>
      </w:r>
      <w:r w:rsidR="008F4F27">
        <w:rPr>
          <w:rFonts w:asciiTheme="minorHAnsi" w:hAnsiTheme="minorHAnsi" w:cstheme="minorHAnsi"/>
          <w:color w:val="000000"/>
          <w:sz w:val="22"/>
          <w:szCs w:val="22"/>
          <w:lang w:val="hu-HU"/>
        </w:rPr>
        <w:t>1, német nyelv – 2, szlové</w:t>
      </w:r>
      <w:r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>n nyelv – 1 és spanyol nyelv</w:t>
      </w:r>
      <w:r w:rsidR="0001266E" w:rsidRPr="00B167CD">
        <w:rPr>
          <w:rFonts w:asciiTheme="minorHAnsi" w:hAnsiTheme="minorHAnsi" w:cstheme="minorHAnsi"/>
          <w:color w:val="000000"/>
          <w:sz w:val="22"/>
          <w:szCs w:val="22"/>
          <w:lang w:val="hu-HU"/>
        </w:rPr>
        <w:t xml:space="preserve"> -1.</w:t>
      </w:r>
    </w:p>
    <w:p w:rsidR="00EF6C8F" w:rsidRPr="00B167CD" w:rsidRDefault="00D00A60" w:rsidP="002A02B0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br w:type="page"/>
      </w:r>
      <w:r w:rsidR="00980019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lastRenderedPageBreak/>
        <w:t>II</w:t>
      </w:r>
      <w:r w:rsidR="002A02B0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.</w:t>
      </w:r>
    </w:p>
    <w:p w:rsidR="002A02B0" w:rsidRPr="00B167CD" w:rsidRDefault="002A02B0" w:rsidP="00980019">
      <w:p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ab/>
        <w:t xml:space="preserve">Állandó bírósági fordítónak (a továbbiakban: jelölt) 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>az a személy nevezhető ki, aki teljesíti a következő általános és külön feltételeket, és ezeket a felhívásban megállapított módon igazolja.</w:t>
      </w:r>
    </w:p>
    <w:p w:rsidR="00713F56" w:rsidRPr="00B167CD" w:rsidRDefault="00713F56" w:rsidP="00980019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A jelöltekre vonatkozó általános feltételek és az azok teljesülését igazoló dokumentumok:</w:t>
      </w:r>
    </w:p>
    <w:p w:rsidR="00713F56" w:rsidRPr="00B167CD" w:rsidRDefault="00713F56" w:rsidP="00713F56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a Szerb Köztársaság állampolgára (állampolgársági bizonylat – hat hónapnál nem régebbi);</w:t>
      </w:r>
    </w:p>
    <w:p w:rsidR="00713F56" w:rsidRPr="00B167CD" w:rsidRDefault="00713F56" w:rsidP="00EF6FA3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noProof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sz w:val="22"/>
          <w:szCs w:val="22"/>
          <w:lang w:val="hu-HU"/>
        </w:rPr>
        <w:t>korábban munkaviszonyból eredő kötelesség súlyosabb megsértése miatt nem szűnt meg az</w:t>
      </w:r>
      <w:r w:rsidR="00EF6FA3"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 államigazgatási szervnél létesített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 munkaviszonya (az államigazgatási szervnél korábban vagy jelenleg munkaviszonyban álló személy által aláírt nyilatkozat arról, hogy munkaviszonya fegyelmi intézkedés kiszabása miatt nem szűnt meg);</w:t>
      </w:r>
    </w:p>
    <w:p w:rsidR="00EF6FA3" w:rsidRPr="00B167CD" w:rsidRDefault="00EF6FA3" w:rsidP="00EF6FA3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Cs/>
          <w:noProof/>
          <w:color w:val="000000"/>
          <w:sz w:val="22"/>
          <w:szCs w:val="22"/>
          <w:lang w:val="hu-HU"/>
        </w:rPr>
        <w:t>a jelölttel szemben nem folyik hivatalból üldözendő bűncselekmény miatt büntetőeljárás</w:t>
      </w: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 (a jelölt lakóhelye szerint illetékes bíróság által kiállított bizonylat – hat hónapnál nem régebbi);</w:t>
      </w:r>
    </w:p>
    <w:p w:rsidR="00EF6FA3" w:rsidRPr="00B167CD" w:rsidRDefault="00EF6FA3" w:rsidP="00EF6FA3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sz w:val="22"/>
          <w:szCs w:val="22"/>
          <w:lang w:val="hu-HU"/>
        </w:rPr>
        <w:t>nem ítélték legalább hat hónapig terjedő börtönbüntetés letöltésére (a jelölt lakóhelye szerint illetékes rendőrkapitányság büntető-nyilvántartásából kiadott bizonylat – hat hónapnál nem régebbi);</w:t>
      </w:r>
    </w:p>
    <w:p w:rsidR="00EF6FA3" w:rsidRPr="00B167CD" w:rsidRDefault="00EF6FA3" w:rsidP="00EF6FA3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Cs/>
          <w:noProof/>
          <w:color w:val="000000"/>
          <w:sz w:val="22"/>
          <w:szCs w:val="22"/>
          <w:lang w:val="hu-HU"/>
        </w:rPr>
        <w:t>felsőfokú végzettséggel rendelkezik</w:t>
      </w: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 (a megszerzett végzettséget igazoló oklevél hitelesített másolata).</w:t>
      </w:r>
    </w:p>
    <w:p w:rsidR="008978BE" w:rsidRPr="00B167CD" w:rsidRDefault="008978BE" w:rsidP="00A42A81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</w:p>
    <w:p w:rsidR="008978BE" w:rsidRPr="00B167CD" w:rsidRDefault="008978BE" w:rsidP="00A42A81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A jelöltekre vonatkozó külön feltételek és az azok teljesülését igazoló dokumentumok:</w:t>
      </w:r>
    </w:p>
    <w:p w:rsidR="008978BE" w:rsidRPr="00B167CD" w:rsidRDefault="008978BE" w:rsidP="008978BE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sz w:val="22"/>
          <w:szCs w:val="22"/>
          <w:lang w:val="hu-HU"/>
        </w:rPr>
        <w:t>meghatározott idegen nyelv esetében megfelelő felsőfokú végzettséggel kell rendelkeznie, vagy teljes mértékben ismernie kell a beszéd vagy írásos szöveg forrásnyelvét és célnyelvét (a feltétel teljesülését az adott idegen nyelvre vonatkozó megfelelő felsőfokú végzettséget igazoló oklevél, illetve bizonyítvány, valamint a tartományi titkár által alakított bizottság nyelvtudás-ellenőrzése alapján kell igazolni);</w:t>
      </w:r>
    </w:p>
    <w:p w:rsidR="007F6E82" w:rsidRPr="00B167CD" w:rsidRDefault="007F6E82" w:rsidP="007F6E82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sz w:val="22"/>
          <w:szCs w:val="22"/>
          <w:lang w:val="hu-HU"/>
        </w:rPr>
        <w:t>ismernie kell az adott célnyelvben és forrásnyelvben használatos jogi terminológiát (a feltétel teljesülését a jogi terminológia ismeretének ellenőrzése alapján kell igazolni, amelyet a tartományi titkár által alakított bizottság végez);</w:t>
      </w:r>
    </w:p>
    <w:p w:rsidR="007F6E82" w:rsidRPr="00B167CD" w:rsidRDefault="007F6E82" w:rsidP="007F6E82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legalább öt év tapasztalattal rendelkezik fordítói feladatok ellátásában (a feltétel teljesülését a fordítói tevékenységet igazoló igazolás vagy tanúsítvány alapján kell igazolni).</w:t>
      </w:r>
    </w:p>
    <w:p w:rsidR="00980019" w:rsidRPr="00B167CD" w:rsidRDefault="00980019" w:rsidP="00C30AE8">
      <w:pPr>
        <w:spacing w:before="120" w:after="120"/>
        <w:jc w:val="center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III</w:t>
      </w:r>
      <w:r w:rsidR="007F6E82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.</w:t>
      </w:r>
    </w:p>
    <w:p w:rsidR="007F6E82" w:rsidRPr="00B167CD" w:rsidRDefault="007F6E82" w:rsidP="00EF6C8F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>A jelöltnek a felhívásra való jelentkezéshez mellékelnie kell a felsorolt bizonyítékok eredeti példányát vagy hitelesített fénymásolatát.</w:t>
      </w:r>
    </w:p>
    <w:p w:rsidR="00980019" w:rsidRPr="00B167CD" w:rsidRDefault="00980019" w:rsidP="00980019">
      <w:pPr>
        <w:tabs>
          <w:tab w:val="left" w:pos="360"/>
        </w:tabs>
        <w:spacing w:after="120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IV</w:t>
      </w:r>
      <w:r w:rsidR="007F6E82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.</w:t>
      </w:r>
    </w:p>
    <w:p w:rsidR="007F6E82" w:rsidRPr="00B167CD" w:rsidRDefault="007F6E82" w:rsidP="00980019">
      <w:p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  <w:t>A tartományi titkár által alakított bizottság végzi a nyelvi és jogi terminológiai ismeretek ellenőrzését a külön feltételek teljesülésének igazolása céljából, a vizsga költségeit pedig a jelölt viseli.</w:t>
      </w:r>
    </w:p>
    <w:p w:rsidR="00EF6C8F" w:rsidRPr="00B167CD" w:rsidRDefault="00EF6C8F" w:rsidP="00EF6C8F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</w:p>
    <w:p w:rsidR="00EF6C8F" w:rsidRPr="00B167CD" w:rsidRDefault="00EF6C8F">
      <w:pPr>
        <w:spacing w:after="160" w:line="259" w:lineRule="auto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br w:type="page"/>
      </w:r>
    </w:p>
    <w:p w:rsidR="00980019" w:rsidRPr="00B167CD" w:rsidRDefault="00980019" w:rsidP="00EF6C8F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lastRenderedPageBreak/>
        <w:t>V</w:t>
      </w:r>
      <w:r w:rsidR="00267DFC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.</w:t>
      </w:r>
    </w:p>
    <w:p w:rsidR="00F31EC3" w:rsidRPr="00F31EC3" w:rsidRDefault="00E56D7D" w:rsidP="00F31EC3">
      <w:pPr>
        <w:spacing w:after="160" w:line="252" w:lineRule="auto"/>
        <w:jc w:val="both"/>
        <w:rPr>
          <w:rFonts w:asciiTheme="minorHAnsi" w:hAnsiTheme="minorHAnsi" w:cstheme="minorHAnsi"/>
          <w:sz w:val="20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ab/>
      </w:r>
      <w:proofErr w:type="gramStart"/>
      <w:r w:rsidR="00F31EC3" w:rsidRPr="00F31EC3">
        <w:rPr>
          <w:rFonts w:asciiTheme="minorHAnsi" w:hAnsiTheme="minorHAnsi" w:cstheme="minorHAnsi"/>
          <w:sz w:val="22"/>
          <w:lang w:val="hu-HU"/>
        </w:rPr>
        <w:t xml:space="preserve">A felhívásra a jelentkezést, a jelen felhívás II. pontjában meghatározott feltételek teljesülését igazoló dokumentumokkal együtt, 2026. január 19-étől számított 30 napon belül kell megküldeni a következő címre: Tartományi Oktatási, Jogalkotási, Közigazgatási és Nemzeti Kisebbségi – Nemzeti Közösségi Titkárság </w:t>
      </w:r>
      <w:r w:rsidR="00F31EC3" w:rsidRPr="00F31EC3">
        <w:rPr>
          <w:rFonts w:asciiTheme="minorHAnsi" w:hAnsiTheme="minorHAnsi" w:cstheme="minorHAnsi"/>
          <w:i/>
          <w:iCs/>
          <w:sz w:val="22"/>
          <w:lang w:val="hu-HU"/>
        </w:rPr>
        <w:t>(Pokrajinski sekretarijat za obrazovanje, propise, upravu i nacionalne manjine – nacionalne zajednice),</w:t>
      </w:r>
      <w:r w:rsidR="00F31EC3" w:rsidRPr="00F31EC3">
        <w:rPr>
          <w:rFonts w:asciiTheme="minorHAnsi" w:hAnsiTheme="minorHAnsi" w:cstheme="minorHAnsi"/>
          <w:sz w:val="22"/>
          <w:lang w:val="hu-HU"/>
        </w:rPr>
        <w:t xml:space="preserve"> Mihajlo Pupin sugárút 16., 21 000 Újvidék, a következő megjelöléssel: </w:t>
      </w:r>
      <w:r w:rsidR="00F31EC3" w:rsidRPr="00F31EC3">
        <w:rPr>
          <w:rFonts w:asciiTheme="minorHAnsi" w:hAnsiTheme="minorHAnsi" w:cstheme="minorHAnsi"/>
          <w:i/>
          <w:iCs/>
          <w:sz w:val="22"/>
          <w:u w:val="single"/>
          <w:lang w:val="hu-HU"/>
        </w:rPr>
        <w:t>Jelentkezés Vajdaság Autonó</w:t>
      </w:r>
      <w:r w:rsidR="00E65C25">
        <w:rPr>
          <w:rFonts w:asciiTheme="minorHAnsi" w:hAnsiTheme="minorHAnsi" w:cstheme="minorHAnsi"/>
          <w:i/>
          <w:iCs/>
          <w:sz w:val="22"/>
          <w:u w:val="single"/>
          <w:lang w:val="hu-HU"/>
        </w:rPr>
        <w:t>m Tartományban működő felső</w:t>
      </w:r>
      <w:bookmarkStart w:id="0" w:name="_GoBack"/>
      <w:bookmarkEnd w:id="0"/>
      <w:r w:rsidR="00F31EC3" w:rsidRPr="00F31EC3">
        <w:rPr>
          <w:rFonts w:asciiTheme="minorHAnsi" w:hAnsiTheme="minorHAnsi" w:cstheme="minorHAnsi"/>
          <w:i/>
          <w:iCs/>
          <w:sz w:val="22"/>
          <w:u w:val="single"/>
          <w:lang w:val="hu-HU"/>
        </w:rPr>
        <w:t>bíróságok területére állandó bírósági fordítók kinevezésére közzétet</w:t>
      </w:r>
      <w:proofErr w:type="gramEnd"/>
      <w:r w:rsidR="00F31EC3" w:rsidRPr="00F31EC3">
        <w:rPr>
          <w:rFonts w:asciiTheme="minorHAnsi" w:hAnsiTheme="minorHAnsi" w:cstheme="minorHAnsi"/>
          <w:i/>
          <w:iCs/>
          <w:sz w:val="22"/>
          <w:u w:val="single"/>
          <w:lang w:val="hu-HU"/>
        </w:rPr>
        <w:t xml:space="preserve">t </w:t>
      </w:r>
      <w:proofErr w:type="gramStart"/>
      <w:r w:rsidR="00F31EC3" w:rsidRPr="00F31EC3">
        <w:rPr>
          <w:rFonts w:asciiTheme="minorHAnsi" w:hAnsiTheme="minorHAnsi" w:cstheme="minorHAnsi"/>
          <w:i/>
          <w:iCs/>
          <w:sz w:val="22"/>
          <w:u w:val="single"/>
          <w:lang w:val="hu-HU"/>
        </w:rPr>
        <w:t>felhívásra</w:t>
      </w:r>
      <w:proofErr w:type="gramEnd"/>
      <w:r w:rsidR="00F31EC3" w:rsidRPr="00F31EC3">
        <w:rPr>
          <w:rFonts w:asciiTheme="minorHAnsi" w:hAnsiTheme="minorHAnsi" w:cstheme="minorHAnsi"/>
          <w:i/>
          <w:iCs/>
          <w:sz w:val="22"/>
          <w:u w:val="single"/>
          <w:lang w:val="hu-HU"/>
        </w:rPr>
        <w:t>.</w:t>
      </w:r>
    </w:p>
    <w:p w:rsidR="00F31EC3" w:rsidRPr="00F31EC3" w:rsidRDefault="00F31EC3" w:rsidP="00F31EC3">
      <w:pPr>
        <w:spacing w:after="160" w:line="252" w:lineRule="auto"/>
        <w:ind w:firstLine="720"/>
        <w:jc w:val="both"/>
        <w:rPr>
          <w:rFonts w:asciiTheme="minorHAnsi" w:hAnsiTheme="minorHAnsi" w:cstheme="minorHAnsi"/>
          <w:sz w:val="22"/>
          <w:lang w:val="hu-HU"/>
        </w:rPr>
      </w:pPr>
      <w:r w:rsidRPr="00F31EC3">
        <w:rPr>
          <w:rFonts w:asciiTheme="minorHAnsi" w:hAnsiTheme="minorHAnsi" w:cstheme="minorHAnsi"/>
          <w:sz w:val="22"/>
          <w:lang w:val="hu-HU"/>
        </w:rPr>
        <w:t xml:space="preserve">A jelentkezéseket a Tartományi Oktatási, Jogalkotási, Közigazgatási és Nemzeti Kisebbségi – Nemzeti Közösségi Titkárság </w:t>
      </w:r>
      <w:hyperlink r:id="rId5" w:history="1">
        <w:r w:rsidRPr="00F31EC3">
          <w:rPr>
            <w:rStyle w:val="Hyperlink"/>
            <w:rFonts w:asciiTheme="minorHAnsi" w:hAnsiTheme="minorHAnsi" w:cstheme="minorHAnsi"/>
            <w:sz w:val="22"/>
            <w:lang w:val="hu-HU"/>
          </w:rPr>
          <w:t>www.puma.vojvodina.gov.rs</w:t>
        </w:r>
      </w:hyperlink>
      <w:r w:rsidRPr="00F31EC3">
        <w:rPr>
          <w:rFonts w:asciiTheme="minorHAnsi" w:hAnsiTheme="minorHAnsi" w:cstheme="minorHAnsi"/>
          <w:sz w:val="22"/>
          <w:lang w:val="hu-HU"/>
        </w:rPr>
        <w:t xml:space="preserve"> honlapján a </w:t>
      </w:r>
      <w:r w:rsidRPr="00F31EC3">
        <w:rPr>
          <w:rFonts w:asciiTheme="minorHAnsi" w:hAnsiTheme="minorHAnsi" w:cstheme="minorHAnsi"/>
          <w:i/>
          <w:iCs/>
          <w:sz w:val="22"/>
          <w:lang w:val="hu-HU"/>
        </w:rPr>
        <w:t>Hírek</w:t>
      </w:r>
      <w:r w:rsidRPr="00F31EC3">
        <w:rPr>
          <w:rFonts w:asciiTheme="minorHAnsi" w:hAnsiTheme="minorHAnsi" w:cstheme="minorHAnsi"/>
          <w:sz w:val="22"/>
          <w:lang w:val="hu-HU"/>
        </w:rPr>
        <w:t xml:space="preserve"> részben – a </w:t>
      </w:r>
      <w:r w:rsidRPr="00F31EC3">
        <w:rPr>
          <w:rFonts w:asciiTheme="minorHAnsi" w:hAnsiTheme="minorHAnsi" w:cstheme="minorHAnsi"/>
          <w:i/>
          <w:iCs/>
          <w:sz w:val="22"/>
          <w:lang w:val="hu-HU"/>
        </w:rPr>
        <w:t>Hirdetmények</w:t>
      </w:r>
      <w:r w:rsidRPr="00F31EC3">
        <w:rPr>
          <w:rFonts w:asciiTheme="minorHAnsi" w:hAnsiTheme="minorHAnsi" w:cstheme="minorHAnsi"/>
          <w:sz w:val="22"/>
          <w:lang w:val="hu-HU"/>
        </w:rPr>
        <w:t xml:space="preserve"> mezőből letölthető űrlapon kell benyújtani.</w:t>
      </w:r>
    </w:p>
    <w:p w:rsidR="002051A8" w:rsidRPr="002051A8" w:rsidRDefault="002051A8" w:rsidP="002051A8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2051A8">
        <w:rPr>
          <w:rFonts w:asciiTheme="minorHAnsi" w:hAnsiTheme="minorHAnsi" w:cstheme="minorHAnsi"/>
          <w:sz w:val="22"/>
          <w:szCs w:val="22"/>
          <w:lang w:val="hu-HU"/>
        </w:rPr>
        <w:t>A késve érkezett, megengedhetetlen, érthetetlen vagy hiányos j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>elentkezéseket nem bíráljuk el.</w:t>
      </w:r>
    </w:p>
    <w:p w:rsidR="002051A8" w:rsidRPr="00B167CD" w:rsidRDefault="002051A8" w:rsidP="00E56D7D">
      <w:pPr>
        <w:spacing w:after="120"/>
        <w:ind w:firstLine="7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</w:p>
    <w:p w:rsidR="00980019" w:rsidRPr="00B167CD" w:rsidRDefault="00980019" w:rsidP="00980019">
      <w:pPr>
        <w:tabs>
          <w:tab w:val="left" w:pos="360"/>
        </w:tabs>
        <w:spacing w:after="120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VI</w:t>
      </w:r>
      <w:r w:rsidR="002051A8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.</w:t>
      </w:r>
    </w:p>
    <w:p w:rsidR="002051A8" w:rsidRPr="00B167CD" w:rsidRDefault="002051A8" w:rsidP="00EE39F4">
      <w:pPr>
        <w:spacing w:after="120"/>
        <w:ind w:firstLine="7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Az állandó bírósági fordító kinevezésére irányuló jelentkezés díjazása két jogcímen történik:</w:t>
      </w:r>
    </w:p>
    <w:p w:rsidR="002051A8" w:rsidRPr="00B167CD" w:rsidRDefault="009D0138" w:rsidP="009D0138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A jelölt köteles a k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öztársasági közigazgatá</w:t>
      </w: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si illetékekről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 </w:t>
      </w: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szóló törvény 1. és 9. díjtétel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számának megfelelően </w:t>
      </w:r>
      <w:r w:rsidR="002051A8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1</w:t>
      </w:r>
      <w:r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.</w:t>
      </w:r>
      <w:r w:rsidR="002051A8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140,00 dinár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 összeget befizetni a kér</w:t>
      </w: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elem benyújtása és a határozat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 kiadása céljából a </w:t>
      </w:r>
      <w:r w:rsidR="002051A8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840-742221843-57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 számú számlára, hivatkozási szám: </w:t>
      </w:r>
      <w:r w:rsidR="002051A8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97 142230942701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 xml:space="preserve">, fizetési kód: </w:t>
      </w:r>
      <w:r w:rsidR="002051A8" w:rsidRPr="00B167CD">
        <w:rPr>
          <w:rFonts w:asciiTheme="minorHAnsi" w:hAnsiTheme="minorHAnsi" w:cstheme="minorHAnsi"/>
          <w:b/>
          <w:noProof/>
          <w:color w:val="000000"/>
          <w:sz w:val="22"/>
          <w:szCs w:val="22"/>
          <w:lang w:val="hu-HU"/>
        </w:rPr>
        <w:t>153/253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, befizeté</w:t>
      </w:r>
      <w:r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s rendeltetése: köztársasági közigazgatási illeték</w:t>
      </w:r>
      <w:r w:rsidR="002051A8" w:rsidRPr="00B167CD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, kedvezményezett: Szerb Köztársaság Költségvetése.</w:t>
      </w:r>
    </w:p>
    <w:p w:rsidR="009D0138" w:rsidRPr="008F4F27" w:rsidRDefault="009D0138" w:rsidP="008F4F27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</w:pPr>
      <w:r w:rsidRPr="008F4F27">
        <w:rPr>
          <w:rFonts w:asciiTheme="minorHAnsi" w:hAnsiTheme="minorHAnsi" w:cstheme="minorHAnsi"/>
          <w:noProof/>
          <w:color w:val="000000"/>
          <w:sz w:val="22"/>
          <w:szCs w:val="22"/>
          <w:lang w:val="hu-HU"/>
        </w:rPr>
        <w:t>A Szabályzat 4. szakaszának 2. bekezdésével összhangban a nyelvi és jogi terminológiai vizsgálaton való részvétel feltételeit teljesítő jelölteket időben tájékoztatjuk a vizsga költségéről, amelyet a tartományi titkár által alakított bizottság bonyolít le.</w:t>
      </w:r>
    </w:p>
    <w:p w:rsidR="00EE39F4" w:rsidRPr="00B167CD" w:rsidRDefault="00EE39F4" w:rsidP="00EE39F4">
      <w:pPr>
        <w:pStyle w:val="ListParagraph"/>
        <w:spacing w:after="120"/>
        <w:ind w:left="360"/>
        <w:jc w:val="both"/>
        <w:rPr>
          <w:rFonts w:asciiTheme="minorHAnsi" w:hAnsiTheme="minorHAnsi" w:cstheme="minorHAnsi"/>
          <w:noProof/>
          <w:sz w:val="22"/>
          <w:szCs w:val="22"/>
          <w:lang w:val="hu-HU"/>
        </w:rPr>
      </w:pPr>
    </w:p>
    <w:p w:rsidR="009D0138" w:rsidRPr="009D0138" w:rsidRDefault="009D0138" w:rsidP="009D0138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9D0138">
        <w:rPr>
          <w:rFonts w:asciiTheme="minorHAnsi" w:hAnsiTheme="minorHAnsi" w:cstheme="minorHAnsi"/>
          <w:sz w:val="22"/>
          <w:szCs w:val="22"/>
          <w:lang w:val="hu-HU"/>
        </w:rPr>
        <w:t xml:space="preserve">TARTOMÁNYI OKTATÁSI, JOGALKOTÁSI, KÖZIGAZGATÁSI ÉS </w:t>
      </w:r>
    </w:p>
    <w:p w:rsidR="009D0138" w:rsidRPr="009D0138" w:rsidRDefault="009D0138" w:rsidP="009D0138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9D0138">
        <w:rPr>
          <w:rFonts w:asciiTheme="minorHAnsi" w:hAnsiTheme="minorHAnsi" w:cstheme="minorHAnsi"/>
          <w:sz w:val="22"/>
          <w:szCs w:val="22"/>
          <w:lang w:val="hu-HU"/>
        </w:rPr>
        <w:t xml:space="preserve">NEMZETI KISEBBSÉGI 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>–</w:t>
      </w:r>
      <w:r w:rsidRPr="009D0138">
        <w:rPr>
          <w:rFonts w:asciiTheme="minorHAnsi" w:hAnsiTheme="minorHAnsi" w:cstheme="minorHAnsi"/>
          <w:sz w:val="22"/>
          <w:szCs w:val="22"/>
          <w:lang w:val="hu-HU"/>
        </w:rPr>
        <w:t xml:space="preserve"> NEMZETI</w:t>
      </w:r>
      <w:r w:rsidRPr="00B167CD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9D0138">
        <w:rPr>
          <w:rFonts w:asciiTheme="minorHAnsi" w:hAnsiTheme="minorHAnsi" w:cstheme="minorHAnsi"/>
          <w:sz w:val="22"/>
          <w:szCs w:val="22"/>
          <w:lang w:val="hu-HU"/>
        </w:rPr>
        <w:t>KÖZÖSSÉGI TITKÁRSÁG</w:t>
      </w:r>
    </w:p>
    <w:p w:rsidR="009D0138" w:rsidRPr="009D0138" w:rsidRDefault="009D0138" w:rsidP="009D0138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9D0138">
        <w:rPr>
          <w:rFonts w:asciiTheme="minorHAnsi" w:hAnsiTheme="minorHAnsi" w:cstheme="minorHAnsi"/>
          <w:sz w:val="22"/>
          <w:szCs w:val="22"/>
          <w:lang w:val="hu-HU"/>
        </w:rPr>
        <w:t>VAJDASÁG AUTONÓM TARTOMÁNY</w:t>
      </w:r>
    </w:p>
    <w:p w:rsidR="009D0138" w:rsidRPr="009D0138" w:rsidRDefault="009D0138" w:rsidP="009D0138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9D0138">
        <w:rPr>
          <w:rFonts w:asciiTheme="minorHAnsi" w:hAnsiTheme="minorHAnsi" w:cstheme="minorHAnsi"/>
          <w:sz w:val="22"/>
          <w:szCs w:val="22"/>
          <w:lang w:val="hu-HU"/>
        </w:rPr>
        <w:t>SZERB KÖZTÁRSASÁG</w:t>
      </w:r>
    </w:p>
    <w:p w:rsidR="00F31EC3" w:rsidRDefault="00F31EC3" w:rsidP="00074269">
      <w:pPr>
        <w:jc w:val="center"/>
        <w:rPr>
          <w:rFonts w:asciiTheme="minorHAnsi" w:hAnsiTheme="minorHAnsi" w:cstheme="minorHAnsi"/>
          <w:noProof/>
          <w:sz w:val="22"/>
          <w:szCs w:val="22"/>
          <w:lang w:val="hu-HU"/>
        </w:rPr>
      </w:pPr>
      <w:r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</w:t>
      </w:r>
    </w:p>
    <w:p w:rsidR="00980019" w:rsidRPr="00B167CD" w:rsidRDefault="00F31EC3" w:rsidP="00074269">
      <w:pPr>
        <w:jc w:val="center"/>
        <w:rPr>
          <w:rFonts w:asciiTheme="minorHAnsi" w:hAnsiTheme="minorHAnsi" w:cstheme="minorHAnsi"/>
          <w:noProof/>
          <w:sz w:val="22"/>
          <w:szCs w:val="22"/>
          <w:lang w:val="hu-HU"/>
        </w:rPr>
      </w:pPr>
      <w:r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         </w:t>
      </w:r>
      <w:r w:rsidR="009D0138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>Szám</w:t>
      </w:r>
      <w:r w:rsidR="00980019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: </w:t>
      </w:r>
      <w:r w:rsidR="00074269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003858371 2025 09427 003 001 </w:t>
      </w:r>
      <w:r w:rsidR="009D0138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>000 001, kelt:</w:t>
      </w:r>
      <w:r w:rsidR="00980019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</w:t>
      </w:r>
      <w:r w:rsidR="009D0138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>2026. január 1</w:t>
      </w:r>
      <w:r>
        <w:rPr>
          <w:rFonts w:asciiTheme="minorHAnsi" w:hAnsiTheme="minorHAnsi" w:cstheme="minorHAnsi"/>
          <w:noProof/>
          <w:sz w:val="22"/>
          <w:szCs w:val="22"/>
          <w:lang w:val="hu-HU"/>
        </w:rPr>
        <w:t>4</w:t>
      </w:r>
      <w:r w:rsidR="009D0138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>.</w:t>
      </w:r>
    </w:p>
    <w:p w:rsidR="00980019" w:rsidRPr="00B167CD" w:rsidRDefault="00980019" w:rsidP="00074269">
      <w:pPr>
        <w:jc w:val="center"/>
        <w:rPr>
          <w:rFonts w:asciiTheme="minorHAnsi" w:hAnsiTheme="minorHAnsi" w:cstheme="minorHAnsi"/>
          <w:noProof/>
          <w:sz w:val="22"/>
          <w:szCs w:val="22"/>
          <w:lang w:val="hu-HU"/>
        </w:rPr>
      </w:pPr>
    </w:p>
    <w:p w:rsidR="003D5685" w:rsidRPr="00B167CD" w:rsidRDefault="003D5685" w:rsidP="009D0138">
      <w:pPr>
        <w:jc w:val="both"/>
        <w:rPr>
          <w:rFonts w:asciiTheme="minorHAnsi" w:hAnsiTheme="minorHAnsi" w:cstheme="minorHAnsi"/>
          <w:noProof/>
          <w:sz w:val="22"/>
          <w:szCs w:val="22"/>
          <w:lang w:val="hu-HU"/>
        </w:rPr>
      </w:pPr>
    </w:p>
    <w:p w:rsidR="003D5685" w:rsidRPr="00B167CD" w:rsidRDefault="003D5685" w:rsidP="003D5685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  <w:t xml:space="preserve">                                   </w:t>
      </w:r>
      <w:r w:rsidR="00B44626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 </w:t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 xml:space="preserve">   Ótott Róbert</w:t>
      </w:r>
    </w:p>
    <w:p w:rsidR="003D5685" w:rsidRPr="00B167CD" w:rsidRDefault="003D5685" w:rsidP="003D5685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</w:r>
      <w:r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ab/>
        <w:t xml:space="preserve">  </w:t>
      </w:r>
      <w:r w:rsidR="009D0138" w:rsidRPr="00B167CD">
        <w:rPr>
          <w:rFonts w:asciiTheme="minorHAnsi" w:hAnsiTheme="minorHAnsi" w:cstheme="minorHAnsi"/>
          <w:noProof/>
          <w:sz w:val="22"/>
          <w:szCs w:val="22"/>
          <w:lang w:val="hu-HU"/>
        </w:rPr>
        <w:t>TARTOMÁNYI TITKÁR</w:t>
      </w:r>
    </w:p>
    <w:p w:rsidR="004278C0" w:rsidRPr="00B167CD" w:rsidRDefault="004278C0" w:rsidP="003D5685">
      <w:pPr>
        <w:ind w:left="5040" w:firstLine="63"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sectPr w:rsidR="004278C0" w:rsidRPr="00B167CD" w:rsidSect="00EF6C8F">
      <w:pgSz w:w="12240" w:h="15840"/>
      <w:pgMar w:top="1260" w:right="1440" w:bottom="1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61D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314"/>
    <w:multiLevelType w:val="hybridMultilevel"/>
    <w:tmpl w:val="0E287F00"/>
    <w:lvl w:ilvl="0" w:tplc="04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2051AF"/>
    <w:multiLevelType w:val="hybridMultilevel"/>
    <w:tmpl w:val="D870E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40E31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78F1"/>
    <w:multiLevelType w:val="hybridMultilevel"/>
    <w:tmpl w:val="EAF097EC"/>
    <w:lvl w:ilvl="0" w:tplc="E3ACF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5E49"/>
    <w:multiLevelType w:val="hybridMultilevel"/>
    <w:tmpl w:val="EB2C80F8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FE5A67A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 w15:restartNumberingAfterBreak="0">
    <w:nsid w:val="64DA498C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74915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19"/>
    <w:rsid w:val="0001266E"/>
    <w:rsid w:val="00074269"/>
    <w:rsid w:val="000C14F5"/>
    <w:rsid w:val="000F283B"/>
    <w:rsid w:val="00126FD5"/>
    <w:rsid w:val="001375CC"/>
    <w:rsid w:val="001C7FE3"/>
    <w:rsid w:val="001D6F59"/>
    <w:rsid w:val="001E25B7"/>
    <w:rsid w:val="002051A8"/>
    <w:rsid w:val="00267DFC"/>
    <w:rsid w:val="002A02B0"/>
    <w:rsid w:val="003D1641"/>
    <w:rsid w:val="003D5685"/>
    <w:rsid w:val="004278C0"/>
    <w:rsid w:val="004707C7"/>
    <w:rsid w:val="004B086C"/>
    <w:rsid w:val="004C145C"/>
    <w:rsid w:val="004C7216"/>
    <w:rsid w:val="005573D0"/>
    <w:rsid w:val="006A4DE1"/>
    <w:rsid w:val="00713F56"/>
    <w:rsid w:val="007933F2"/>
    <w:rsid w:val="007B534D"/>
    <w:rsid w:val="007F6E82"/>
    <w:rsid w:val="00810FBD"/>
    <w:rsid w:val="008275A2"/>
    <w:rsid w:val="00827780"/>
    <w:rsid w:val="008978BE"/>
    <w:rsid w:val="008C2D11"/>
    <w:rsid w:val="008F4F27"/>
    <w:rsid w:val="00900290"/>
    <w:rsid w:val="00907FC6"/>
    <w:rsid w:val="00980019"/>
    <w:rsid w:val="009D0138"/>
    <w:rsid w:val="00A42A81"/>
    <w:rsid w:val="00A53A57"/>
    <w:rsid w:val="00AD69C8"/>
    <w:rsid w:val="00AE46E3"/>
    <w:rsid w:val="00B167CD"/>
    <w:rsid w:val="00B2452A"/>
    <w:rsid w:val="00B44626"/>
    <w:rsid w:val="00B51779"/>
    <w:rsid w:val="00B7048C"/>
    <w:rsid w:val="00B8202B"/>
    <w:rsid w:val="00BA5524"/>
    <w:rsid w:val="00BA6B77"/>
    <w:rsid w:val="00C25450"/>
    <w:rsid w:val="00C30AE8"/>
    <w:rsid w:val="00C603D9"/>
    <w:rsid w:val="00C96A94"/>
    <w:rsid w:val="00CE5089"/>
    <w:rsid w:val="00D00A60"/>
    <w:rsid w:val="00D4509C"/>
    <w:rsid w:val="00D85375"/>
    <w:rsid w:val="00E04DC7"/>
    <w:rsid w:val="00E56D7D"/>
    <w:rsid w:val="00E65C25"/>
    <w:rsid w:val="00EB2F05"/>
    <w:rsid w:val="00ED1E38"/>
    <w:rsid w:val="00ED2FAB"/>
    <w:rsid w:val="00ED5C57"/>
    <w:rsid w:val="00EE39F4"/>
    <w:rsid w:val="00EF6C8F"/>
    <w:rsid w:val="00EF6FA3"/>
    <w:rsid w:val="00F31EC3"/>
    <w:rsid w:val="00FB215A"/>
    <w:rsid w:val="00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08EC"/>
  <w15:chartTrackingRefBased/>
  <w15:docId w15:val="{E1225858-1417-4EB1-9440-82EF28F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1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1E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ma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 Stankovic</dc:creator>
  <cp:keywords/>
  <dc:description/>
  <cp:lastModifiedBy>Sabina Terteli</cp:lastModifiedBy>
  <cp:revision>3</cp:revision>
  <dcterms:created xsi:type="dcterms:W3CDTF">2026-01-19T12:49:00Z</dcterms:created>
  <dcterms:modified xsi:type="dcterms:W3CDTF">2026-01-19T12:50:00Z</dcterms:modified>
</cp:coreProperties>
</file>