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8D5" w:rsidRPr="000274B7" w:rsidRDefault="00A968D5" w:rsidP="00632313">
      <w:pPr>
        <w:pStyle w:val="Heading2"/>
      </w:pPr>
      <w:r w:rsidRPr="000274B7">
        <w:t xml:space="preserve">ПОКРАЈИНСКИ СЕКРЕТАРИЈАТ ЗА ОБРАЗОВАЊЕ, </w:t>
      </w:r>
      <w:r w:rsidR="003C5CE4" w:rsidRPr="000274B7">
        <w:rPr>
          <w:lang w:val="sr-Cyrl-RS"/>
        </w:rPr>
        <w:t xml:space="preserve">ПРОПИСЕ, </w:t>
      </w:r>
      <w:r w:rsidRPr="000274B7">
        <w:t>УПРАВУ</w:t>
      </w:r>
    </w:p>
    <w:p w:rsidR="00A968D5" w:rsidRPr="000274B7" w:rsidRDefault="00A968D5" w:rsidP="00632313">
      <w:pPr>
        <w:pStyle w:val="Heading2"/>
      </w:pPr>
      <w:r w:rsidRPr="000274B7">
        <w:t xml:space="preserve">И НАЦИОНАЛНЕ </w:t>
      </w:r>
      <w:r w:rsidR="003C5CE4" w:rsidRPr="000274B7">
        <w:rPr>
          <w:lang w:val="sr-Cyrl-RS"/>
        </w:rPr>
        <w:t xml:space="preserve">МАЊИНЕ – НАЦИОНАЛНЕ </w:t>
      </w:r>
      <w:r w:rsidRPr="000274B7">
        <w:t>ЗАЈЕДНИЦЕ</w:t>
      </w:r>
    </w:p>
    <w:p w:rsidR="00A968D5" w:rsidRPr="000274B7" w:rsidRDefault="00A968D5" w:rsidP="00632313">
      <w:pPr>
        <w:jc w:val="center"/>
        <w:rPr>
          <w:sz w:val="28"/>
          <w:lang w:val="sr-Cyrl-CS"/>
        </w:rPr>
      </w:pPr>
    </w:p>
    <w:p w:rsidR="00A968D5" w:rsidRPr="000274B7" w:rsidRDefault="00A968D5" w:rsidP="00632313">
      <w:pPr>
        <w:jc w:val="center"/>
        <w:rPr>
          <w:sz w:val="28"/>
          <w:lang w:val="ru-RU"/>
        </w:rPr>
      </w:pPr>
    </w:p>
    <w:p w:rsidR="00A968D5" w:rsidRPr="000274B7" w:rsidRDefault="00A968D5" w:rsidP="00632313">
      <w:pPr>
        <w:jc w:val="center"/>
        <w:rPr>
          <w:sz w:val="28"/>
          <w:lang w:val="ru-RU"/>
        </w:rPr>
      </w:pPr>
    </w:p>
    <w:p w:rsidR="00A968D5" w:rsidRPr="000274B7" w:rsidRDefault="00A968D5" w:rsidP="00632313">
      <w:pPr>
        <w:jc w:val="center"/>
        <w:rPr>
          <w:lang w:val="sr-Cyrl-CS"/>
        </w:rPr>
      </w:pPr>
    </w:p>
    <w:p w:rsidR="00A968D5" w:rsidRPr="000274B7" w:rsidRDefault="00A968D5" w:rsidP="00632313">
      <w:pPr>
        <w:jc w:val="center"/>
        <w:rPr>
          <w:lang w:val="sr-Cyrl-CS"/>
        </w:rPr>
      </w:pPr>
    </w:p>
    <w:p w:rsidR="00A968D5" w:rsidRPr="000274B7" w:rsidRDefault="00A968D5" w:rsidP="00632313">
      <w:pPr>
        <w:jc w:val="center"/>
        <w:rPr>
          <w:lang w:val="sr-Cyrl-CS"/>
        </w:rPr>
      </w:pPr>
    </w:p>
    <w:p w:rsidR="00A968D5" w:rsidRPr="000274B7" w:rsidRDefault="00A968D5" w:rsidP="00632313">
      <w:pPr>
        <w:jc w:val="center"/>
        <w:rPr>
          <w:lang w:val="sr-Cyrl-CS"/>
        </w:rPr>
      </w:pPr>
    </w:p>
    <w:p w:rsidR="00A968D5" w:rsidRPr="000274B7" w:rsidRDefault="00A968D5" w:rsidP="00632313">
      <w:pPr>
        <w:jc w:val="center"/>
        <w:rPr>
          <w:lang w:val="sr-Cyrl-CS"/>
        </w:rPr>
      </w:pPr>
    </w:p>
    <w:p w:rsidR="00A968D5" w:rsidRPr="000274B7" w:rsidRDefault="00A968D5" w:rsidP="00632313">
      <w:pPr>
        <w:jc w:val="center"/>
        <w:rPr>
          <w:lang w:val="sr-Cyrl-CS"/>
        </w:rPr>
      </w:pPr>
    </w:p>
    <w:p w:rsidR="00A968D5" w:rsidRPr="000274B7" w:rsidRDefault="00A968D5" w:rsidP="00632313">
      <w:pPr>
        <w:jc w:val="center"/>
        <w:rPr>
          <w:lang w:val="sr-Cyrl-CS"/>
        </w:rPr>
      </w:pPr>
    </w:p>
    <w:p w:rsidR="00A968D5" w:rsidRPr="000274B7" w:rsidRDefault="00A968D5" w:rsidP="00632313">
      <w:pPr>
        <w:jc w:val="center"/>
        <w:rPr>
          <w:lang w:val="sr-Cyrl-CS"/>
        </w:rPr>
      </w:pPr>
    </w:p>
    <w:p w:rsidR="00A968D5" w:rsidRPr="000274B7" w:rsidRDefault="00A968D5" w:rsidP="00632313">
      <w:pPr>
        <w:jc w:val="center"/>
        <w:rPr>
          <w:sz w:val="36"/>
        </w:rPr>
      </w:pPr>
    </w:p>
    <w:p w:rsidR="00A968D5" w:rsidRPr="000274B7" w:rsidRDefault="00A968D5" w:rsidP="00632313">
      <w:pPr>
        <w:jc w:val="center"/>
        <w:rPr>
          <w:sz w:val="36"/>
        </w:rPr>
      </w:pPr>
    </w:p>
    <w:p w:rsidR="00A968D5" w:rsidRPr="000274B7" w:rsidRDefault="00A968D5" w:rsidP="00632313">
      <w:pPr>
        <w:jc w:val="center"/>
        <w:rPr>
          <w:sz w:val="36"/>
        </w:rPr>
      </w:pPr>
    </w:p>
    <w:p w:rsidR="00A968D5" w:rsidRPr="000274B7" w:rsidRDefault="00A968D5" w:rsidP="00632313">
      <w:pPr>
        <w:jc w:val="center"/>
        <w:rPr>
          <w:sz w:val="36"/>
          <w:lang w:val="sr-Cyrl-CS"/>
        </w:rPr>
      </w:pPr>
    </w:p>
    <w:p w:rsidR="001352B0" w:rsidRPr="000274B7" w:rsidRDefault="001352B0" w:rsidP="00632313">
      <w:pPr>
        <w:jc w:val="center"/>
        <w:rPr>
          <w:sz w:val="36"/>
          <w:lang w:val="sr-Cyrl-CS"/>
        </w:rPr>
      </w:pPr>
    </w:p>
    <w:p w:rsidR="00A968D5" w:rsidRPr="000274B7" w:rsidRDefault="00A968D5" w:rsidP="00632313">
      <w:pPr>
        <w:jc w:val="center"/>
        <w:rPr>
          <w:sz w:val="36"/>
          <w:lang w:val="sr-Cyrl-CS"/>
        </w:rPr>
      </w:pPr>
    </w:p>
    <w:p w:rsidR="00A968D5" w:rsidRPr="000274B7" w:rsidRDefault="00A968D5" w:rsidP="00632313">
      <w:pPr>
        <w:pStyle w:val="Heading1"/>
        <w:rPr>
          <w:b/>
          <w:bCs/>
          <w:sz w:val="28"/>
        </w:rPr>
      </w:pPr>
      <w:r w:rsidRPr="000274B7">
        <w:rPr>
          <w:b/>
          <w:bCs/>
          <w:sz w:val="28"/>
        </w:rPr>
        <w:t>ИНФОРМАЦИЈА</w:t>
      </w:r>
    </w:p>
    <w:p w:rsidR="00A968D5" w:rsidRPr="000274B7" w:rsidRDefault="00A968D5" w:rsidP="00632313">
      <w:pPr>
        <w:jc w:val="center"/>
        <w:rPr>
          <w:b/>
          <w:bCs/>
          <w:sz w:val="28"/>
          <w:lang w:val="sr-Cyrl-CS"/>
        </w:rPr>
      </w:pPr>
      <w:r w:rsidRPr="000274B7">
        <w:rPr>
          <w:b/>
          <w:bCs/>
          <w:sz w:val="28"/>
          <w:lang w:val="sr-Cyrl-CS"/>
        </w:rPr>
        <w:t>О УПИСУ УЧЕНИКА У ПРВИ РАЗРЕД СРЕДЊЕ ШКОЛЕ</w:t>
      </w:r>
    </w:p>
    <w:p w:rsidR="00A968D5" w:rsidRPr="000274B7" w:rsidRDefault="00A968D5" w:rsidP="00632313">
      <w:pPr>
        <w:jc w:val="center"/>
        <w:rPr>
          <w:b/>
          <w:bCs/>
          <w:sz w:val="28"/>
          <w:lang w:val="ru-RU"/>
        </w:rPr>
      </w:pPr>
      <w:r w:rsidRPr="000274B7">
        <w:rPr>
          <w:b/>
          <w:bCs/>
          <w:sz w:val="28"/>
          <w:lang w:val="sr-Cyrl-CS"/>
        </w:rPr>
        <w:t>ЗА ШКОЛСКУ 20</w:t>
      </w:r>
      <w:r w:rsidRPr="000274B7">
        <w:rPr>
          <w:b/>
          <w:bCs/>
          <w:sz w:val="28"/>
          <w:lang w:val="ru-RU"/>
        </w:rPr>
        <w:t>1</w:t>
      </w:r>
      <w:r w:rsidR="003C5CE4" w:rsidRPr="000274B7">
        <w:rPr>
          <w:b/>
          <w:bCs/>
          <w:sz w:val="28"/>
          <w:lang w:val="ru-RU"/>
        </w:rPr>
        <w:t>4</w:t>
      </w:r>
      <w:r w:rsidRPr="000274B7">
        <w:rPr>
          <w:b/>
          <w:bCs/>
          <w:sz w:val="28"/>
          <w:lang w:val="sr-Cyrl-CS"/>
        </w:rPr>
        <w:t>/20</w:t>
      </w:r>
      <w:r w:rsidR="003C5CE4" w:rsidRPr="000274B7">
        <w:rPr>
          <w:b/>
          <w:bCs/>
          <w:sz w:val="28"/>
          <w:lang w:val="ru-RU"/>
        </w:rPr>
        <w:t>15</w:t>
      </w:r>
      <w:r w:rsidRPr="000274B7">
        <w:rPr>
          <w:b/>
          <w:bCs/>
          <w:sz w:val="28"/>
          <w:lang w:val="sr-Cyrl-CS"/>
        </w:rPr>
        <w:t>. ГОДИНУ</w:t>
      </w:r>
    </w:p>
    <w:p w:rsidR="00A968D5" w:rsidRPr="000274B7" w:rsidRDefault="00A968D5" w:rsidP="00632313">
      <w:pPr>
        <w:jc w:val="center"/>
        <w:rPr>
          <w:b/>
          <w:bCs/>
          <w:sz w:val="28"/>
          <w:lang w:val="sr-Cyrl-CS"/>
        </w:rPr>
      </w:pPr>
      <w:r w:rsidRPr="000274B7">
        <w:rPr>
          <w:b/>
          <w:bCs/>
          <w:sz w:val="28"/>
          <w:lang w:val="sr-Cyrl-CS"/>
        </w:rPr>
        <w:t>У АУТОНОМНОЈ ПОКРАЈИНИ ВОЈВОДИНИ</w:t>
      </w:r>
    </w:p>
    <w:p w:rsidR="00A968D5" w:rsidRPr="000274B7" w:rsidRDefault="00A968D5" w:rsidP="00632313">
      <w:pPr>
        <w:jc w:val="center"/>
        <w:rPr>
          <w:sz w:val="36"/>
          <w:lang w:val="sr-Cyrl-CS"/>
        </w:rPr>
      </w:pPr>
    </w:p>
    <w:p w:rsidR="00A968D5" w:rsidRPr="000274B7" w:rsidRDefault="00A968D5" w:rsidP="00632313">
      <w:pPr>
        <w:jc w:val="center"/>
        <w:rPr>
          <w:sz w:val="36"/>
          <w:lang w:val="sr-Cyrl-CS"/>
        </w:rPr>
      </w:pPr>
    </w:p>
    <w:p w:rsidR="00A968D5" w:rsidRPr="000274B7" w:rsidRDefault="00A968D5" w:rsidP="00632313">
      <w:pPr>
        <w:jc w:val="center"/>
        <w:rPr>
          <w:sz w:val="36"/>
          <w:lang w:val="sr-Cyrl-CS"/>
        </w:rPr>
      </w:pPr>
    </w:p>
    <w:p w:rsidR="00A968D5" w:rsidRPr="000274B7" w:rsidRDefault="00A968D5" w:rsidP="00632313">
      <w:pPr>
        <w:jc w:val="center"/>
        <w:rPr>
          <w:lang w:val="ru-RU"/>
        </w:rPr>
      </w:pPr>
    </w:p>
    <w:p w:rsidR="00A968D5" w:rsidRPr="000274B7" w:rsidRDefault="00A968D5" w:rsidP="00632313">
      <w:pPr>
        <w:jc w:val="center"/>
        <w:rPr>
          <w:lang w:val="sr-Cyrl-CS"/>
        </w:rPr>
      </w:pPr>
    </w:p>
    <w:p w:rsidR="00A968D5" w:rsidRPr="000274B7" w:rsidRDefault="00A968D5" w:rsidP="00632313">
      <w:pPr>
        <w:jc w:val="center"/>
        <w:rPr>
          <w:lang w:val="sr-Cyrl-CS"/>
        </w:rPr>
      </w:pPr>
    </w:p>
    <w:p w:rsidR="00A968D5" w:rsidRPr="00933BBE" w:rsidRDefault="00A968D5" w:rsidP="00632313">
      <w:pPr>
        <w:jc w:val="center"/>
        <w:rPr>
          <w:lang w:val="sr-Cyrl-CS"/>
        </w:rPr>
      </w:pPr>
    </w:p>
    <w:p w:rsidR="00A968D5" w:rsidRPr="00933BBE" w:rsidRDefault="00A968D5" w:rsidP="00632313">
      <w:pPr>
        <w:jc w:val="center"/>
        <w:rPr>
          <w:lang w:val="sr-Cyrl-CS"/>
        </w:rPr>
      </w:pPr>
    </w:p>
    <w:p w:rsidR="00A968D5" w:rsidRPr="00933BBE" w:rsidRDefault="00A968D5" w:rsidP="00632313">
      <w:pPr>
        <w:jc w:val="center"/>
        <w:rPr>
          <w:lang w:val="sr-Cyrl-CS"/>
        </w:rPr>
      </w:pPr>
    </w:p>
    <w:p w:rsidR="00A968D5" w:rsidRPr="00933BBE" w:rsidRDefault="00A968D5" w:rsidP="00632313">
      <w:pPr>
        <w:jc w:val="center"/>
        <w:rPr>
          <w:lang w:val="sr-Cyrl-CS"/>
        </w:rPr>
      </w:pPr>
    </w:p>
    <w:p w:rsidR="00A968D5" w:rsidRPr="00933BBE" w:rsidRDefault="00A968D5" w:rsidP="00632313">
      <w:pPr>
        <w:jc w:val="center"/>
        <w:rPr>
          <w:lang w:val="sr-Cyrl-CS"/>
        </w:rPr>
      </w:pPr>
    </w:p>
    <w:p w:rsidR="00A968D5" w:rsidRPr="00933BBE" w:rsidRDefault="00A968D5" w:rsidP="00632313">
      <w:pPr>
        <w:jc w:val="center"/>
        <w:rPr>
          <w:lang w:val="sr-Cyrl-CS"/>
        </w:rPr>
      </w:pPr>
    </w:p>
    <w:p w:rsidR="00A968D5" w:rsidRPr="00933BBE" w:rsidRDefault="00A968D5" w:rsidP="00632313">
      <w:pPr>
        <w:jc w:val="center"/>
        <w:rPr>
          <w:lang w:val="ru-RU"/>
        </w:rPr>
      </w:pPr>
    </w:p>
    <w:p w:rsidR="00A968D5" w:rsidRPr="00933BBE" w:rsidRDefault="00A968D5" w:rsidP="00632313">
      <w:pPr>
        <w:jc w:val="center"/>
        <w:rPr>
          <w:lang w:val="ru-RU"/>
        </w:rPr>
      </w:pPr>
    </w:p>
    <w:p w:rsidR="00A968D5" w:rsidRDefault="00A968D5" w:rsidP="00632313">
      <w:pPr>
        <w:jc w:val="center"/>
        <w:rPr>
          <w:lang w:val="ru-RU"/>
        </w:rPr>
      </w:pPr>
    </w:p>
    <w:p w:rsidR="001352B0" w:rsidRDefault="001352B0" w:rsidP="00632313">
      <w:pPr>
        <w:jc w:val="center"/>
        <w:rPr>
          <w:lang w:val="ru-RU"/>
        </w:rPr>
      </w:pPr>
    </w:p>
    <w:p w:rsidR="001352B0" w:rsidRDefault="001352B0" w:rsidP="00632313">
      <w:pPr>
        <w:jc w:val="center"/>
        <w:rPr>
          <w:lang w:val="ru-RU"/>
        </w:rPr>
      </w:pPr>
    </w:p>
    <w:p w:rsidR="001352B0" w:rsidRPr="00933BBE" w:rsidRDefault="001352B0" w:rsidP="00632313">
      <w:pPr>
        <w:jc w:val="center"/>
        <w:rPr>
          <w:lang w:val="ru-RU"/>
        </w:rPr>
      </w:pPr>
    </w:p>
    <w:p w:rsidR="00A968D5" w:rsidRPr="00933BBE" w:rsidRDefault="00A968D5" w:rsidP="00632313">
      <w:pPr>
        <w:jc w:val="center"/>
        <w:rPr>
          <w:lang w:val="ru-RU"/>
        </w:rPr>
      </w:pPr>
    </w:p>
    <w:p w:rsidR="00A968D5" w:rsidRPr="00933BBE" w:rsidRDefault="00A968D5" w:rsidP="00632313">
      <w:pPr>
        <w:jc w:val="center"/>
        <w:rPr>
          <w:lang w:val="ru-RU"/>
        </w:rPr>
      </w:pPr>
    </w:p>
    <w:p w:rsidR="00A968D5" w:rsidRPr="00933BBE" w:rsidRDefault="00A968D5" w:rsidP="00632313">
      <w:pPr>
        <w:jc w:val="center"/>
        <w:rPr>
          <w:lang w:val="sr-Cyrl-CS"/>
        </w:rPr>
      </w:pPr>
    </w:p>
    <w:p w:rsidR="00A968D5" w:rsidRDefault="00A968D5" w:rsidP="00632313">
      <w:pPr>
        <w:jc w:val="center"/>
        <w:rPr>
          <w:lang w:val="sr-Cyrl-CS"/>
        </w:rPr>
      </w:pPr>
      <w:r w:rsidRPr="00933BBE">
        <w:rPr>
          <w:lang w:val="sr-Cyrl-CS"/>
        </w:rPr>
        <w:t xml:space="preserve">Нови Сад, </w:t>
      </w:r>
      <w:r w:rsidR="000274B7">
        <w:rPr>
          <w:lang w:val="sr-Cyrl-CS"/>
        </w:rPr>
        <w:t>децембар</w:t>
      </w:r>
      <w:r w:rsidRPr="00933BBE">
        <w:rPr>
          <w:lang w:val="sr-Cyrl-CS"/>
        </w:rPr>
        <w:t xml:space="preserve"> 20</w:t>
      </w:r>
      <w:r>
        <w:rPr>
          <w:lang w:val="sr-Cyrl-CS"/>
        </w:rPr>
        <w:t>1</w:t>
      </w:r>
      <w:r w:rsidR="003C5CE4">
        <w:rPr>
          <w:lang w:val="sr-Cyrl-CS"/>
        </w:rPr>
        <w:t>4</w:t>
      </w:r>
      <w:r w:rsidRPr="00933BBE">
        <w:rPr>
          <w:lang w:val="sr-Cyrl-CS"/>
        </w:rPr>
        <w:t>. године</w:t>
      </w:r>
    </w:p>
    <w:p w:rsidR="00A968D5" w:rsidRPr="000274B7" w:rsidRDefault="00A968D5" w:rsidP="00A968D5">
      <w:pPr>
        <w:pStyle w:val="BodyText"/>
        <w:jc w:val="center"/>
        <w:rPr>
          <w:b/>
          <w:bCs/>
          <w:lang w:val="ru-RU"/>
        </w:rPr>
      </w:pPr>
      <w:r w:rsidRPr="000274B7">
        <w:rPr>
          <w:b/>
          <w:bCs/>
        </w:rPr>
        <w:lastRenderedPageBreak/>
        <w:t>УВОД</w:t>
      </w:r>
    </w:p>
    <w:p w:rsidR="00A968D5" w:rsidRDefault="00A968D5" w:rsidP="00A968D5">
      <w:pPr>
        <w:pStyle w:val="BodyText"/>
        <w:jc w:val="center"/>
        <w:rPr>
          <w:lang w:val="ru-RU"/>
        </w:rPr>
      </w:pPr>
    </w:p>
    <w:p w:rsidR="00A968D5" w:rsidRPr="00933BBE" w:rsidRDefault="00A968D5" w:rsidP="00A968D5">
      <w:pPr>
        <w:pStyle w:val="BodyText"/>
        <w:jc w:val="center"/>
        <w:rPr>
          <w:lang w:val="ru-RU"/>
        </w:rPr>
      </w:pPr>
    </w:p>
    <w:p w:rsidR="00A968D5" w:rsidRPr="00933BBE" w:rsidRDefault="00A968D5" w:rsidP="00A968D5">
      <w:pPr>
        <w:pStyle w:val="BodyText"/>
        <w:rPr>
          <w:lang w:val="ru-RU"/>
        </w:rPr>
      </w:pPr>
    </w:p>
    <w:p w:rsidR="00A968D5" w:rsidRPr="008E1459" w:rsidRDefault="00A968D5" w:rsidP="00A968D5">
      <w:pPr>
        <w:pStyle w:val="BodyText"/>
        <w:rPr>
          <w:lang w:val="ru-RU"/>
        </w:rPr>
      </w:pPr>
      <w:r w:rsidRPr="00933BBE">
        <w:tab/>
        <w:t xml:space="preserve">Циљ Информације </w:t>
      </w:r>
      <w:r w:rsidRPr="006C7529">
        <w:t>јесте д</w:t>
      </w:r>
      <w:r w:rsidRPr="00933BBE">
        <w:t xml:space="preserve">а прикаже </w:t>
      </w:r>
      <w:r w:rsidRPr="008107FF">
        <w:t xml:space="preserve">реализацију Одлуке о броју </w:t>
      </w:r>
      <w:r>
        <w:rPr>
          <w:lang w:val="sr-Cyrl-RS"/>
        </w:rPr>
        <w:t>места</w:t>
      </w:r>
      <w:r w:rsidRPr="008107FF">
        <w:rPr>
          <w:lang w:val="sr-Cyrl-RS"/>
        </w:rPr>
        <w:t xml:space="preserve"> за упис</w:t>
      </w:r>
      <w:r>
        <w:rPr>
          <w:lang w:val="sr-Cyrl-RS"/>
        </w:rPr>
        <w:t xml:space="preserve"> ученика</w:t>
      </w:r>
      <w:r w:rsidRPr="008107FF">
        <w:rPr>
          <w:lang w:val="sr-Cyrl-RS"/>
        </w:rPr>
        <w:t xml:space="preserve"> </w:t>
      </w:r>
      <w:r w:rsidRPr="008107FF">
        <w:t>у први разред средњих школа чији је оснивач</w:t>
      </w:r>
      <w:r w:rsidR="000274B7">
        <w:t xml:space="preserve"> Аутономна </w:t>
      </w:r>
      <w:r w:rsidR="000274B7">
        <w:rPr>
          <w:lang w:val="sr-Cyrl-RS"/>
        </w:rPr>
        <w:t>п</w:t>
      </w:r>
      <w:r w:rsidRPr="008E1459">
        <w:t>окрајина Војводина</w:t>
      </w:r>
      <w:r w:rsidRPr="00F82DC0">
        <w:t xml:space="preserve"> </w:t>
      </w:r>
      <w:r>
        <w:t>(у даљем тексту: АП Војводина)</w:t>
      </w:r>
      <w:r w:rsidRPr="008E1459">
        <w:t xml:space="preserve"> у школској 201</w:t>
      </w:r>
      <w:r w:rsidR="000274B7">
        <w:rPr>
          <w:lang w:val="sr-Cyrl-RS"/>
        </w:rPr>
        <w:t>4</w:t>
      </w:r>
      <w:r w:rsidRPr="008E1459">
        <w:t>/20</w:t>
      </w:r>
      <w:r w:rsidRPr="008E1459">
        <w:rPr>
          <w:lang w:val="ru-RU"/>
        </w:rPr>
        <w:t>1</w:t>
      </w:r>
      <w:r w:rsidR="000274B7">
        <w:rPr>
          <w:lang w:val="ru-RU"/>
        </w:rPr>
        <w:t>5</w:t>
      </w:r>
      <w:r w:rsidRPr="008E1459">
        <w:t xml:space="preserve">. години, односно, </w:t>
      </w:r>
      <w:r>
        <w:rPr>
          <w:lang w:val="sr-Cyrl-RS"/>
        </w:rPr>
        <w:t xml:space="preserve">да прикаже </w:t>
      </w:r>
      <w:r w:rsidRPr="008E1459">
        <w:t>упис ученика у први разред средњег образовања и васпитања у АП Војводини.</w:t>
      </w:r>
    </w:p>
    <w:p w:rsidR="00A968D5" w:rsidRPr="00643404" w:rsidRDefault="00A968D5" w:rsidP="00A968D5">
      <w:pPr>
        <w:pStyle w:val="BodyText"/>
        <w:rPr>
          <w:color w:val="FF0000"/>
          <w:lang w:val="ru-RU"/>
        </w:rPr>
      </w:pPr>
    </w:p>
    <w:p w:rsidR="00A968D5" w:rsidRPr="007C4F27" w:rsidRDefault="00A968D5" w:rsidP="00A968D5">
      <w:pPr>
        <w:jc w:val="both"/>
        <w:rPr>
          <w:lang w:val="ru-RU"/>
        </w:rPr>
      </w:pPr>
      <w:r w:rsidRPr="00933BBE">
        <w:rPr>
          <w:lang w:val="sr-Cyrl-CS"/>
        </w:rPr>
        <w:tab/>
        <w:t>Информација је израђена на основу</w:t>
      </w:r>
      <w:r>
        <w:rPr>
          <w:lang w:val="sr-Cyrl-CS"/>
        </w:rPr>
        <w:t>:</w:t>
      </w:r>
      <w:r w:rsidRPr="00933BBE">
        <w:rPr>
          <w:lang w:val="sr-Cyrl-CS"/>
        </w:rPr>
        <w:t xml:space="preserve"> података које је Покрајински секретаријат за образовање</w:t>
      </w:r>
      <w:r w:rsidRPr="000E1915">
        <w:rPr>
          <w:lang w:val="ru-RU"/>
        </w:rPr>
        <w:t>,</w:t>
      </w:r>
      <w:r w:rsidR="000274B7">
        <w:rPr>
          <w:lang w:val="ru-RU"/>
        </w:rPr>
        <w:t xml:space="preserve"> прописе,</w:t>
      </w:r>
      <w:r w:rsidRPr="000E1915">
        <w:rPr>
          <w:lang w:val="ru-RU"/>
        </w:rPr>
        <w:t xml:space="preserve"> </w:t>
      </w:r>
      <w:r>
        <w:rPr>
          <w:lang w:val="sr-Cyrl-CS"/>
        </w:rPr>
        <w:t xml:space="preserve">управу и националне </w:t>
      </w:r>
      <w:r w:rsidR="000274B7">
        <w:rPr>
          <w:lang w:val="sr-Cyrl-CS"/>
        </w:rPr>
        <w:t xml:space="preserve">мањине – националне </w:t>
      </w:r>
      <w:r>
        <w:rPr>
          <w:lang w:val="sr-Cyrl-CS"/>
        </w:rPr>
        <w:t>заједнице (у даљем тексту: Секретаријат)</w:t>
      </w:r>
      <w:r w:rsidRPr="00933BBE">
        <w:rPr>
          <w:lang w:val="sr-Cyrl-CS"/>
        </w:rPr>
        <w:t xml:space="preserve"> прикупио од основних и средњих школа </w:t>
      </w:r>
      <w:r>
        <w:rPr>
          <w:lang w:val="sr-Cyrl-CS"/>
        </w:rPr>
        <w:t xml:space="preserve">на територији </w:t>
      </w:r>
      <w:r w:rsidRPr="00933BBE">
        <w:rPr>
          <w:lang w:val="sr-Cyrl-CS"/>
        </w:rPr>
        <w:t>АП Војводин</w:t>
      </w:r>
      <w:r>
        <w:rPr>
          <w:lang w:val="sr-Cyrl-CS"/>
        </w:rPr>
        <w:t>е;</w:t>
      </w:r>
      <w:r w:rsidRPr="00933BBE">
        <w:rPr>
          <w:lang w:val="sr-Cyrl-CS"/>
        </w:rPr>
        <w:t xml:space="preserve"> Одлуке о броју </w:t>
      </w:r>
      <w:r>
        <w:rPr>
          <w:lang w:val="sr-Cyrl-CS"/>
        </w:rPr>
        <w:t xml:space="preserve">места </w:t>
      </w:r>
      <w:r w:rsidRPr="00933BBE">
        <w:rPr>
          <w:lang w:val="sr-Cyrl-CS"/>
        </w:rPr>
        <w:t xml:space="preserve">за упис </w:t>
      </w:r>
      <w:r>
        <w:rPr>
          <w:lang w:val="sr-Cyrl-CS"/>
        </w:rPr>
        <w:t xml:space="preserve">ученика </w:t>
      </w:r>
      <w:r w:rsidRPr="00933BBE">
        <w:rPr>
          <w:lang w:val="sr-Cyrl-CS"/>
        </w:rPr>
        <w:t>у први разред средњих школа чији је оснивач АП Војводина у школској 20</w:t>
      </w:r>
      <w:r>
        <w:rPr>
          <w:lang w:val="sr-Cyrl-CS"/>
        </w:rPr>
        <w:t>1</w:t>
      </w:r>
      <w:r w:rsidR="000274B7">
        <w:rPr>
          <w:lang w:val="sr-Cyrl-CS"/>
        </w:rPr>
        <w:t>4</w:t>
      </w:r>
      <w:r w:rsidRPr="00933BBE">
        <w:rPr>
          <w:lang w:val="sr-Cyrl-CS"/>
        </w:rPr>
        <w:t>/20</w:t>
      </w:r>
      <w:r w:rsidRPr="00933BBE">
        <w:rPr>
          <w:lang w:val="ru-RU"/>
        </w:rPr>
        <w:t>1</w:t>
      </w:r>
      <w:r w:rsidR="000274B7">
        <w:rPr>
          <w:lang w:val="ru-RU"/>
        </w:rPr>
        <w:t>5</w:t>
      </w:r>
      <w:r w:rsidRPr="00933BBE">
        <w:rPr>
          <w:lang w:val="sr-Cyrl-CS"/>
        </w:rPr>
        <w:t>. години</w:t>
      </w:r>
      <w:r>
        <w:rPr>
          <w:lang w:val="sr-Cyrl-CS"/>
        </w:rPr>
        <w:t>;</w:t>
      </w:r>
      <w:r w:rsidRPr="00933BBE">
        <w:rPr>
          <w:lang w:val="sr-Cyrl-CS"/>
        </w:rPr>
        <w:t xml:space="preserve"> </w:t>
      </w:r>
      <w:r w:rsidRPr="000E1915">
        <w:rPr>
          <w:lang w:val="ru-RU"/>
        </w:rPr>
        <w:t>Покрајинске скупштинске одлуке о броју и просторном распореду средњих школа чији је оснивач А</w:t>
      </w:r>
      <w:r w:rsidRPr="007C4F27">
        <w:rPr>
          <w:lang w:val="ru-RU"/>
        </w:rPr>
        <w:t>П Војводина</w:t>
      </w:r>
      <w:r>
        <w:rPr>
          <w:lang w:val="sr-Cyrl-CS"/>
        </w:rPr>
        <w:t>;</w:t>
      </w:r>
      <w:r w:rsidRPr="007C4F27">
        <w:rPr>
          <w:lang w:val="sr-Cyrl-CS"/>
        </w:rPr>
        <w:t xml:space="preserve"> Одлуке Министарства просвете</w:t>
      </w:r>
      <w:r>
        <w:rPr>
          <w:lang w:val="sr-Cyrl-CS"/>
        </w:rPr>
        <w:t xml:space="preserve">, </w:t>
      </w:r>
      <w:r w:rsidRPr="007C4F27">
        <w:rPr>
          <w:lang w:val="sr-Cyrl-CS"/>
        </w:rPr>
        <w:t>науке</w:t>
      </w:r>
      <w:r>
        <w:rPr>
          <w:lang w:val="sr-Cyrl-CS"/>
        </w:rPr>
        <w:t xml:space="preserve"> и технолошког развоја </w:t>
      </w:r>
      <w:r w:rsidRPr="007C4F27">
        <w:rPr>
          <w:lang w:val="sr-Cyrl-CS"/>
        </w:rPr>
        <w:t>Републике Србије о упису ученика у средње школе за школску 201</w:t>
      </w:r>
      <w:r w:rsidR="000274B7">
        <w:rPr>
          <w:lang w:val="sr-Cyrl-CS"/>
        </w:rPr>
        <w:t>4</w:t>
      </w:r>
      <w:r w:rsidRPr="007C4F27">
        <w:rPr>
          <w:lang w:val="sr-Cyrl-CS"/>
        </w:rPr>
        <w:t>/20</w:t>
      </w:r>
      <w:r w:rsidRPr="007C4F27">
        <w:rPr>
          <w:lang w:val="ru-RU"/>
        </w:rPr>
        <w:t>1</w:t>
      </w:r>
      <w:r w:rsidR="000274B7">
        <w:rPr>
          <w:lang w:val="ru-RU"/>
        </w:rPr>
        <w:t>5</w:t>
      </w:r>
      <w:r w:rsidRPr="007C4F27">
        <w:rPr>
          <w:lang w:val="sr-Cyrl-CS"/>
        </w:rPr>
        <w:t>. годину</w:t>
      </w:r>
      <w:r>
        <w:rPr>
          <w:lang w:val="sr-Cyrl-CS"/>
        </w:rPr>
        <w:t>;</w:t>
      </w:r>
      <w:r w:rsidRPr="007C4F27">
        <w:rPr>
          <w:lang w:val="sr-Cyrl-CS"/>
        </w:rPr>
        <w:t xml:space="preserve"> Конкурса за упис ученика у средњу школу за школску 201</w:t>
      </w:r>
      <w:r w:rsidR="000274B7">
        <w:rPr>
          <w:lang w:val="sr-Cyrl-CS"/>
        </w:rPr>
        <w:t>4</w:t>
      </w:r>
      <w:r w:rsidRPr="007C4F27">
        <w:rPr>
          <w:lang w:val="sr-Cyrl-CS"/>
        </w:rPr>
        <w:t>/20</w:t>
      </w:r>
      <w:r w:rsidRPr="007C4F27">
        <w:rPr>
          <w:lang w:val="ru-RU"/>
        </w:rPr>
        <w:t>1</w:t>
      </w:r>
      <w:r w:rsidR="000274B7">
        <w:rPr>
          <w:lang w:val="ru-RU"/>
        </w:rPr>
        <w:t>5</w:t>
      </w:r>
      <w:r w:rsidRPr="007C4F27">
        <w:rPr>
          <w:lang w:val="sr-Cyrl-CS"/>
        </w:rPr>
        <w:t>. годину.</w:t>
      </w:r>
    </w:p>
    <w:p w:rsidR="00A968D5" w:rsidRPr="007C4F27" w:rsidRDefault="00A968D5" w:rsidP="00A968D5">
      <w:pPr>
        <w:jc w:val="both"/>
        <w:rPr>
          <w:lang w:val="ru-RU"/>
        </w:rPr>
      </w:pPr>
    </w:p>
    <w:p w:rsidR="00A968D5" w:rsidRPr="007C4F27" w:rsidRDefault="00A968D5" w:rsidP="00A968D5">
      <w:pPr>
        <w:ind w:firstLine="720"/>
        <w:jc w:val="both"/>
        <w:rPr>
          <w:lang w:val="sr-Cyrl-CS"/>
        </w:rPr>
      </w:pPr>
      <w:r w:rsidRPr="00D52A03">
        <w:rPr>
          <w:lang w:val="ru-RU"/>
        </w:rPr>
        <w:t xml:space="preserve">Сагласно члану 30. тачка 19, члану 33. и члану 35. став 1. Покрајинске скупштинске одлуке о </w:t>
      </w:r>
      <w:r w:rsidRPr="00D52A03">
        <w:rPr>
          <w:lang w:val="sr-Cyrl-RS"/>
        </w:rPr>
        <w:t>Влади АП Војводине</w:t>
      </w:r>
      <w:r w:rsidRPr="00D52A03">
        <w:rPr>
          <w:lang w:val="ru-RU"/>
        </w:rPr>
        <w:t xml:space="preserve"> („Службени лист АПВ”, број: 4/2010), а у вези са чланом 34. став 1. тачка 3. Закона о утврђивању надлежности АП Војводине („Службени гласник РС”, број: 99/2009 – Одлука УСРС – 67/2012), </w:t>
      </w:r>
      <w:r w:rsidR="000274B7" w:rsidRPr="00D52A03">
        <w:rPr>
          <w:lang w:val="ru-RU"/>
        </w:rPr>
        <w:t>Покрајинска вла</w:t>
      </w:r>
      <w:r w:rsidRPr="00D52A03">
        <w:rPr>
          <w:lang w:val="ru-RU"/>
        </w:rPr>
        <w:t xml:space="preserve">да </w:t>
      </w:r>
      <w:r w:rsidRPr="00D52A03">
        <w:rPr>
          <w:lang w:val="sr-Cyrl-CS"/>
        </w:rPr>
        <w:t>донела</w:t>
      </w:r>
      <w:r w:rsidRPr="00D52A03">
        <w:rPr>
          <w:b/>
          <w:lang w:val="sr-Cyrl-CS"/>
        </w:rPr>
        <w:t xml:space="preserve"> </w:t>
      </w:r>
      <w:r w:rsidRPr="00D52A03">
        <w:rPr>
          <w:lang w:val="sr-Cyrl-CS"/>
        </w:rPr>
        <w:t>је</w:t>
      </w:r>
      <w:r w:rsidRPr="00D52A03">
        <w:rPr>
          <w:b/>
          <w:lang w:val="sr-Cyrl-CS"/>
        </w:rPr>
        <w:t xml:space="preserve"> Одлуку о броју места за упис у први разред средњих школа чији је оснивач </w:t>
      </w:r>
      <w:r w:rsidRPr="000274B7">
        <w:rPr>
          <w:b/>
          <w:lang w:val="sr-Cyrl-CS"/>
        </w:rPr>
        <w:t xml:space="preserve">АП Војводина </w:t>
      </w:r>
      <w:r w:rsidRPr="007C4F27">
        <w:rPr>
          <w:b/>
          <w:lang w:val="sr-Cyrl-CS"/>
        </w:rPr>
        <w:t>у школској 201</w:t>
      </w:r>
      <w:r w:rsidR="000274B7">
        <w:rPr>
          <w:b/>
          <w:lang w:val="sr-Cyrl-CS"/>
        </w:rPr>
        <w:t>4</w:t>
      </w:r>
      <w:r w:rsidRPr="007C4F27">
        <w:rPr>
          <w:b/>
          <w:lang w:val="sr-Cyrl-CS"/>
        </w:rPr>
        <w:t>/201</w:t>
      </w:r>
      <w:r w:rsidR="000274B7">
        <w:rPr>
          <w:b/>
          <w:lang w:val="sr-Cyrl-CS"/>
        </w:rPr>
        <w:t>5</w:t>
      </w:r>
      <w:r w:rsidRPr="007C4F27">
        <w:rPr>
          <w:b/>
          <w:lang w:val="sr-Cyrl-CS"/>
        </w:rPr>
        <w:t>. години</w:t>
      </w:r>
      <w:r w:rsidRPr="007C4F27">
        <w:rPr>
          <w:lang w:val="sr-Cyrl-CS"/>
        </w:rPr>
        <w:t>.</w:t>
      </w:r>
    </w:p>
    <w:p w:rsidR="00A968D5" w:rsidRPr="007C4F27" w:rsidRDefault="00A968D5" w:rsidP="00A968D5">
      <w:pPr>
        <w:ind w:firstLine="720"/>
        <w:jc w:val="both"/>
        <w:rPr>
          <w:lang w:val="sr-Cyrl-CS"/>
        </w:rPr>
      </w:pPr>
    </w:p>
    <w:p w:rsidR="00A968D5" w:rsidRPr="007C4F27" w:rsidRDefault="00A968D5" w:rsidP="00A968D5">
      <w:pPr>
        <w:ind w:firstLine="720"/>
        <w:jc w:val="both"/>
        <w:rPr>
          <w:b/>
          <w:lang w:val="sr-Cyrl-CS"/>
        </w:rPr>
      </w:pPr>
      <w:r w:rsidRPr="007C4F27">
        <w:rPr>
          <w:lang w:val="sr-Cyrl-CS"/>
        </w:rPr>
        <w:t xml:space="preserve">Утврђивање броја </w:t>
      </w:r>
      <w:r w:rsidR="000274B7">
        <w:rPr>
          <w:lang w:val="sr-Cyrl-CS"/>
        </w:rPr>
        <w:t>места</w:t>
      </w:r>
      <w:r w:rsidRPr="007C4F27">
        <w:rPr>
          <w:lang w:val="sr-Cyrl-CS"/>
        </w:rPr>
        <w:t xml:space="preserve"> за упис </w:t>
      </w:r>
      <w:r w:rsidR="000274B7">
        <w:rPr>
          <w:lang w:val="sr-Cyrl-CS"/>
        </w:rPr>
        <w:t xml:space="preserve">ученика </w:t>
      </w:r>
      <w:r w:rsidRPr="007C4F27">
        <w:rPr>
          <w:lang w:val="sr-Cyrl-CS"/>
        </w:rPr>
        <w:t>у средње школе врши се као поверен посао и Министарство просвете</w:t>
      </w:r>
      <w:r>
        <w:rPr>
          <w:lang w:val="sr-Cyrl-CS"/>
        </w:rPr>
        <w:t>, науке и технолошког развоја</w:t>
      </w:r>
      <w:r w:rsidRPr="007C4F27">
        <w:rPr>
          <w:lang w:val="sr-Cyrl-CS"/>
        </w:rPr>
        <w:t xml:space="preserve"> Републике Србије објавило је јединствени конкурс за упис ученика у први разред средњих школа у школској 201</w:t>
      </w:r>
      <w:r w:rsidR="000274B7">
        <w:rPr>
          <w:lang w:val="sr-Cyrl-CS"/>
        </w:rPr>
        <w:t>4</w:t>
      </w:r>
      <w:r w:rsidRPr="007C4F27">
        <w:rPr>
          <w:lang w:val="sr-Cyrl-CS"/>
        </w:rPr>
        <w:t>/20</w:t>
      </w:r>
      <w:r w:rsidRPr="007C4F27">
        <w:rPr>
          <w:lang w:val="ru-RU"/>
        </w:rPr>
        <w:t>1</w:t>
      </w:r>
      <w:r w:rsidR="000274B7">
        <w:rPr>
          <w:lang w:val="ru-RU"/>
        </w:rPr>
        <w:t>5</w:t>
      </w:r>
      <w:r w:rsidRPr="007C4F27">
        <w:rPr>
          <w:lang w:val="sr-Cyrl-CS"/>
        </w:rPr>
        <w:t>. години.</w:t>
      </w:r>
    </w:p>
    <w:p w:rsidR="00A968D5" w:rsidRPr="007C4F27" w:rsidRDefault="00A968D5" w:rsidP="00A968D5">
      <w:pPr>
        <w:jc w:val="both"/>
        <w:rPr>
          <w:lang w:val="ru-RU"/>
        </w:rPr>
      </w:pPr>
    </w:p>
    <w:p w:rsidR="00A968D5" w:rsidRPr="00E217CD" w:rsidRDefault="00A968D5" w:rsidP="00A968D5">
      <w:pPr>
        <w:jc w:val="both"/>
        <w:rPr>
          <w:lang w:val="ru-RU"/>
        </w:rPr>
      </w:pPr>
      <w:r w:rsidRPr="007C4F27">
        <w:rPr>
          <w:lang w:val="sr-Cyrl-CS"/>
        </w:rPr>
        <w:tab/>
        <w:t>Поступак утврђивања броја ученика за упис у први разред средњих школа за школску 20</w:t>
      </w:r>
      <w:r w:rsidRPr="007C4F27">
        <w:rPr>
          <w:lang w:val="ru-RU"/>
        </w:rPr>
        <w:t>1</w:t>
      </w:r>
      <w:r w:rsidR="000274B7">
        <w:rPr>
          <w:lang w:val="ru-RU"/>
        </w:rPr>
        <w:t>4</w:t>
      </w:r>
      <w:r w:rsidRPr="007C4F27">
        <w:rPr>
          <w:lang w:val="sr-Cyrl-CS"/>
        </w:rPr>
        <w:t>/20</w:t>
      </w:r>
      <w:r w:rsidRPr="007C4F27">
        <w:rPr>
          <w:lang w:val="ru-RU"/>
        </w:rPr>
        <w:t>1</w:t>
      </w:r>
      <w:r w:rsidR="000274B7">
        <w:rPr>
          <w:lang w:val="ru-RU"/>
        </w:rPr>
        <w:t>5</w:t>
      </w:r>
      <w:r w:rsidRPr="007C4F27">
        <w:rPr>
          <w:lang w:val="sr-Cyrl-CS"/>
        </w:rPr>
        <w:t xml:space="preserve">. годину, </w:t>
      </w:r>
      <w:r>
        <w:rPr>
          <w:lang w:val="sr-Cyrl-CS"/>
        </w:rPr>
        <w:t>Секретаријат</w:t>
      </w:r>
      <w:r w:rsidRPr="007C4F27">
        <w:rPr>
          <w:lang w:val="sr-Cyrl-CS"/>
        </w:rPr>
        <w:t xml:space="preserve"> је започео у новембру 201</w:t>
      </w:r>
      <w:r w:rsidR="000274B7">
        <w:rPr>
          <w:lang w:val="sr-Cyrl-CS"/>
        </w:rPr>
        <w:t>3</w:t>
      </w:r>
      <w:r w:rsidRPr="007C4F27">
        <w:rPr>
          <w:lang w:val="sr-Cyrl-CS"/>
        </w:rPr>
        <w:t xml:space="preserve">. године, </w:t>
      </w:r>
      <w:r w:rsidRPr="00E217CD">
        <w:rPr>
          <w:lang w:val="sr-Cyrl-CS"/>
        </w:rPr>
        <w:t>на основу захтева школа и мишљења локалних самоуправа</w:t>
      </w:r>
      <w:r w:rsidRPr="00E217CD">
        <w:rPr>
          <w:lang w:val="ru-RU"/>
        </w:rPr>
        <w:t>.</w:t>
      </w:r>
    </w:p>
    <w:p w:rsidR="00A968D5" w:rsidRPr="007C4F27" w:rsidRDefault="00A968D5" w:rsidP="00A968D5">
      <w:pPr>
        <w:jc w:val="both"/>
        <w:rPr>
          <w:lang w:val="sr-Cyrl-CS"/>
        </w:rPr>
      </w:pPr>
    </w:p>
    <w:p w:rsidR="00A968D5" w:rsidRPr="007C4F27" w:rsidRDefault="00A968D5" w:rsidP="00A968D5">
      <w:pPr>
        <w:ind w:firstLine="720"/>
        <w:jc w:val="both"/>
        <w:rPr>
          <w:lang w:val="sr-Cyrl-CS"/>
        </w:rPr>
      </w:pPr>
      <w:r w:rsidRPr="007C4F27">
        <w:rPr>
          <w:lang w:val="sr-Cyrl-CS"/>
        </w:rPr>
        <w:t xml:space="preserve">У поступку утврђивања Предлога </w:t>
      </w:r>
      <w:r>
        <w:rPr>
          <w:lang w:val="sr-Cyrl-CS"/>
        </w:rPr>
        <w:t>о</w:t>
      </w:r>
      <w:r w:rsidRPr="007C4F27">
        <w:rPr>
          <w:lang w:val="sr-Cyrl-CS"/>
        </w:rPr>
        <w:t xml:space="preserve">длуке, </w:t>
      </w:r>
      <w:r>
        <w:rPr>
          <w:lang w:val="sr-Cyrl-CS"/>
        </w:rPr>
        <w:t>С</w:t>
      </w:r>
      <w:r w:rsidRPr="007C4F27">
        <w:rPr>
          <w:lang w:val="sr-Cyrl-CS"/>
        </w:rPr>
        <w:t xml:space="preserve">екретаријат је тражио од јединица локалне самоуправе да, </w:t>
      </w:r>
      <w:r>
        <w:rPr>
          <w:lang w:val="sr-Cyrl-CS"/>
        </w:rPr>
        <w:t>ради</w:t>
      </w:r>
      <w:r w:rsidRPr="007C4F27">
        <w:rPr>
          <w:lang w:val="sr-Cyrl-CS"/>
        </w:rPr>
        <w:t xml:space="preserve"> усклађивања потреба својих средина са уписном политиком на нивоу АП Војводине, обаве консултације са средњим школама на својој територији и размотре број ученика осм</w:t>
      </w:r>
      <w:r w:rsidR="00BC7B13">
        <w:rPr>
          <w:lang w:val="sr-Cyrl-CS"/>
        </w:rPr>
        <w:t>ог</w:t>
      </w:r>
      <w:r w:rsidRPr="007C4F27">
        <w:rPr>
          <w:lang w:val="sr-Cyrl-CS"/>
        </w:rPr>
        <w:t xml:space="preserve"> разреда, реализацију прошлогодишњег плана уписа ученика у први разред средњих школа, потребе средине за одређеним занимањима и предложе план уписа ученика у први разред средњих школа за школску 201</w:t>
      </w:r>
      <w:r w:rsidR="00BC7B13">
        <w:rPr>
          <w:lang w:val="sr-Cyrl-CS"/>
        </w:rPr>
        <w:t>4</w:t>
      </w:r>
      <w:r w:rsidRPr="007C4F27">
        <w:rPr>
          <w:lang w:val="sr-Cyrl-CS"/>
        </w:rPr>
        <w:t>/201</w:t>
      </w:r>
      <w:r w:rsidR="00BC7B13">
        <w:rPr>
          <w:lang w:val="sr-Cyrl-CS"/>
        </w:rPr>
        <w:t>5</w:t>
      </w:r>
      <w:r w:rsidRPr="007C4F27">
        <w:rPr>
          <w:lang w:val="sr-Cyrl-CS"/>
        </w:rPr>
        <w:t>. годину, као и да предложе евентуалне измене у погледу увођења нових подручја рада и образовних профила.</w:t>
      </w:r>
    </w:p>
    <w:p w:rsidR="00A968D5" w:rsidRPr="007C4F27" w:rsidRDefault="00A968D5" w:rsidP="00A968D5">
      <w:pPr>
        <w:pStyle w:val="BodyText"/>
        <w:rPr>
          <w:lang w:val="ru-RU"/>
        </w:rPr>
      </w:pPr>
    </w:p>
    <w:p w:rsidR="00A968D5" w:rsidRPr="007C4F27" w:rsidRDefault="00A968D5" w:rsidP="00A968D5">
      <w:pPr>
        <w:pStyle w:val="BodyText"/>
        <w:rPr>
          <w:lang w:val="ru-RU"/>
        </w:rPr>
      </w:pPr>
      <w:r w:rsidRPr="007C4F27">
        <w:tab/>
      </w:r>
      <w:r>
        <w:rPr>
          <w:lang w:val="sr-Cyrl-RS"/>
        </w:rPr>
        <w:t>Секретаријат је</w:t>
      </w:r>
      <w:r w:rsidRPr="007C4F27">
        <w:t xml:space="preserve"> током </w:t>
      </w:r>
      <w:r w:rsidRPr="007C4F27">
        <w:rPr>
          <w:lang w:val="sr-Cyrl-RS"/>
        </w:rPr>
        <w:t>априла</w:t>
      </w:r>
      <w:r w:rsidRPr="007C4F27">
        <w:t xml:space="preserve"> 20</w:t>
      </w:r>
      <w:r w:rsidRPr="007C4F27">
        <w:rPr>
          <w:lang w:val="ru-RU"/>
        </w:rPr>
        <w:t>1</w:t>
      </w:r>
      <w:r w:rsidR="000274B7">
        <w:rPr>
          <w:lang w:val="ru-RU"/>
        </w:rPr>
        <w:t>4</w:t>
      </w:r>
      <w:r w:rsidRPr="007C4F27">
        <w:t xml:space="preserve">. године израдио Предлог </w:t>
      </w:r>
      <w:r>
        <w:t>о</w:t>
      </w:r>
      <w:r w:rsidRPr="007C4F27">
        <w:t>длуке и након консултација с Министарством просвете</w:t>
      </w:r>
      <w:r>
        <w:rPr>
          <w:lang w:val="sr-Cyrl-RS"/>
        </w:rPr>
        <w:t xml:space="preserve">, </w:t>
      </w:r>
      <w:r w:rsidRPr="007C4F27">
        <w:t>науке</w:t>
      </w:r>
      <w:r>
        <w:rPr>
          <w:lang w:val="sr-Cyrl-RS"/>
        </w:rPr>
        <w:t xml:space="preserve"> и технолошког развоја</w:t>
      </w:r>
      <w:r w:rsidRPr="007C4F27">
        <w:t xml:space="preserve"> Републике Србије</w:t>
      </w:r>
      <w:r>
        <w:t>,</w:t>
      </w:r>
      <w:r w:rsidRPr="007C4F27">
        <w:rPr>
          <w:lang w:val="sr-Cyrl-RS"/>
        </w:rPr>
        <w:t xml:space="preserve"> </w:t>
      </w:r>
      <w:r w:rsidRPr="007C4F27">
        <w:t xml:space="preserve">овај предлог упутио на разматрање и усвајање </w:t>
      </w:r>
      <w:r w:rsidR="000274B7">
        <w:rPr>
          <w:lang w:val="sr-Cyrl-RS"/>
        </w:rPr>
        <w:t>Покрајинској в</w:t>
      </w:r>
      <w:r w:rsidR="000274B7">
        <w:t>лади</w:t>
      </w:r>
      <w:r w:rsidRPr="007C4F27">
        <w:t>.</w:t>
      </w:r>
    </w:p>
    <w:p w:rsidR="00A968D5" w:rsidRPr="007C4F27" w:rsidRDefault="00A968D5" w:rsidP="00A968D5">
      <w:pPr>
        <w:pStyle w:val="BodyText"/>
        <w:rPr>
          <w:lang w:val="ru-RU"/>
        </w:rPr>
      </w:pPr>
    </w:p>
    <w:p w:rsidR="00A968D5" w:rsidRPr="00E217CD" w:rsidRDefault="00A968D5" w:rsidP="00A968D5">
      <w:pPr>
        <w:jc w:val="both"/>
        <w:rPr>
          <w:lang w:val="sr-Cyrl-CS"/>
        </w:rPr>
      </w:pPr>
      <w:r w:rsidRPr="00E217CD">
        <w:rPr>
          <w:lang w:val="sr-Cyrl-CS"/>
        </w:rPr>
        <w:tab/>
        <w:t xml:space="preserve">Одлуком о броју </w:t>
      </w:r>
      <w:r w:rsidR="000274B7">
        <w:rPr>
          <w:lang w:val="sr-Cyrl-CS"/>
        </w:rPr>
        <w:t>места</w:t>
      </w:r>
      <w:r w:rsidRPr="00E217CD">
        <w:rPr>
          <w:lang w:val="sr-Cyrl-CS"/>
        </w:rPr>
        <w:t xml:space="preserve"> за упис </w:t>
      </w:r>
      <w:r w:rsidR="000274B7">
        <w:rPr>
          <w:lang w:val="sr-Cyrl-CS"/>
        </w:rPr>
        <w:t xml:space="preserve">ученика </w:t>
      </w:r>
      <w:r w:rsidRPr="00E217CD">
        <w:rPr>
          <w:lang w:val="sr-Cyrl-CS"/>
        </w:rPr>
        <w:t>у први разред средњих школа чији је оснивач АП Војводина у школској 20</w:t>
      </w:r>
      <w:r w:rsidRPr="00E217CD">
        <w:rPr>
          <w:lang w:val="ru-RU"/>
        </w:rPr>
        <w:t>1</w:t>
      </w:r>
      <w:r w:rsidR="000274B7">
        <w:rPr>
          <w:lang w:val="ru-RU"/>
        </w:rPr>
        <w:t>4</w:t>
      </w:r>
      <w:r w:rsidRPr="00E217CD">
        <w:rPr>
          <w:lang w:val="sr-Cyrl-CS"/>
        </w:rPr>
        <w:t>/201</w:t>
      </w:r>
      <w:r w:rsidR="000274B7">
        <w:rPr>
          <w:lang w:val="sr-Cyrl-CS"/>
        </w:rPr>
        <w:t>5</w:t>
      </w:r>
      <w:r w:rsidRPr="00E217CD">
        <w:rPr>
          <w:lang w:val="sr-Cyrl-CS"/>
        </w:rPr>
        <w:t xml:space="preserve">. години, </w:t>
      </w:r>
      <w:r>
        <w:rPr>
          <w:lang w:val="sr-Cyrl-CS"/>
        </w:rPr>
        <w:t xml:space="preserve">а </w:t>
      </w:r>
      <w:r w:rsidRPr="00E217CD">
        <w:rPr>
          <w:lang w:val="sr-Cyrl-CS"/>
        </w:rPr>
        <w:t xml:space="preserve">која је донета на </w:t>
      </w:r>
      <w:r w:rsidRPr="00E217CD">
        <w:rPr>
          <w:lang w:val="ru-RU"/>
        </w:rPr>
        <w:t xml:space="preserve">седници </w:t>
      </w:r>
      <w:r w:rsidR="000274B7">
        <w:rPr>
          <w:lang w:val="sr-Cyrl-CS"/>
        </w:rPr>
        <w:t>Владе АП Војводине одржаној 23</w:t>
      </w:r>
      <w:r w:rsidRPr="00E217CD">
        <w:rPr>
          <w:lang w:val="sr-Cyrl-CS"/>
        </w:rPr>
        <w:t>. априла 201</w:t>
      </w:r>
      <w:r w:rsidR="000274B7">
        <w:rPr>
          <w:lang w:val="sr-Cyrl-CS"/>
        </w:rPr>
        <w:t>4</w:t>
      </w:r>
      <w:r w:rsidRPr="00E217CD">
        <w:rPr>
          <w:lang w:val="sr-Cyrl-CS"/>
        </w:rPr>
        <w:t xml:space="preserve">. године, у средњим школама на територији АП </w:t>
      </w:r>
      <w:r w:rsidRPr="00E217CD">
        <w:rPr>
          <w:lang w:val="sr-Cyrl-CS"/>
        </w:rPr>
        <w:lastRenderedPageBreak/>
        <w:t xml:space="preserve">Војводине предвиђен је упис </w:t>
      </w:r>
      <w:r w:rsidRPr="00E217CD">
        <w:rPr>
          <w:b/>
          <w:bCs/>
          <w:lang w:val="sr-Cyrl-CS"/>
        </w:rPr>
        <w:t>20.</w:t>
      </w:r>
      <w:r w:rsidR="000274B7">
        <w:rPr>
          <w:b/>
          <w:bCs/>
          <w:lang w:val="sr-Cyrl-CS"/>
        </w:rPr>
        <w:t>229</w:t>
      </w:r>
      <w:r>
        <w:rPr>
          <w:b/>
          <w:bCs/>
          <w:lang w:val="sr-Cyrl-CS"/>
        </w:rPr>
        <w:t xml:space="preserve"> редовних</w:t>
      </w:r>
      <w:r w:rsidR="000274B7">
        <w:rPr>
          <w:b/>
          <w:bCs/>
          <w:lang w:val="sr-Cyrl-CS"/>
        </w:rPr>
        <w:t xml:space="preserve"> ученика, 1.297</w:t>
      </w:r>
      <w:r w:rsidRPr="00E217CD">
        <w:rPr>
          <w:b/>
          <w:bCs/>
          <w:lang w:val="sr-Cyrl-CS"/>
        </w:rPr>
        <w:t xml:space="preserve"> ванредн</w:t>
      </w:r>
      <w:r w:rsidR="000274B7">
        <w:rPr>
          <w:b/>
          <w:bCs/>
          <w:lang w:val="sr-Cyrl-CS"/>
        </w:rPr>
        <w:t>их</w:t>
      </w:r>
      <w:r w:rsidRPr="00E217CD">
        <w:rPr>
          <w:b/>
          <w:bCs/>
          <w:lang w:val="sr-Cyrl-CS"/>
        </w:rPr>
        <w:t xml:space="preserve"> ученика и </w:t>
      </w:r>
      <w:r w:rsidR="000274B7">
        <w:rPr>
          <w:b/>
          <w:bCs/>
          <w:lang w:val="sr-Cyrl-CS"/>
        </w:rPr>
        <w:t>580</w:t>
      </w:r>
      <w:r w:rsidRPr="00E217CD">
        <w:rPr>
          <w:b/>
          <w:bCs/>
          <w:lang w:val="sr-Cyrl-CS"/>
        </w:rPr>
        <w:t xml:space="preserve"> ученик</w:t>
      </w:r>
      <w:r w:rsidR="000274B7">
        <w:rPr>
          <w:b/>
          <w:bCs/>
          <w:lang w:val="sr-Cyrl-CS"/>
        </w:rPr>
        <w:t>а</w:t>
      </w:r>
      <w:r w:rsidRPr="00E217CD">
        <w:rPr>
          <w:b/>
          <w:bCs/>
          <w:lang w:val="sr-Cyrl-CS"/>
        </w:rPr>
        <w:t xml:space="preserve"> са сметњама у развоју</w:t>
      </w:r>
      <w:r w:rsidRPr="00E217CD">
        <w:rPr>
          <w:lang w:val="sr-Cyrl-CS"/>
        </w:rPr>
        <w:t xml:space="preserve">. </w:t>
      </w:r>
    </w:p>
    <w:p w:rsidR="00A968D5" w:rsidRPr="00E217CD" w:rsidRDefault="00A968D5" w:rsidP="00A968D5">
      <w:pPr>
        <w:ind w:firstLine="720"/>
        <w:jc w:val="both"/>
        <w:rPr>
          <w:lang w:val="sr-Cyrl-CS"/>
        </w:rPr>
      </w:pPr>
    </w:p>
    <w:p w:rsidR="00A968D5" w:rsidRPr="00E217CD" w:rsidRDefault="00A968D5" w:rsidP="00A968D5">
      <w:pPr>
        <w:ind w:firstLine="720"/>
        <w:jc w:val="both"/>
        <w:rPr>
          <w:lang w:val="ru-RU"/>
        </w:rPr>
      </w:pPr>
      <w:r w:rsidRPr="00E217CD">
        <w:rPr>
          <w:lang w:val="sr-Cyrl-CS"/>
        </w:rPr>
        <w:t xml:space="preserve">Упис ученика у средње школе извршен је на основу Одлуке </w:t>
      </w:r>
      <w:r w:rsidR="000274B7">
        <w:rPr>
          <w:lang w:val="sr-Cyrl-CS"/>
        </w:rPr>
        <w:t>Покрајинске в</w:t>
      </w:r>
      <w:r w:rsidRPr="00E217CD">
        <w:rPr>
          <w:lang w:val="sr-Cyrl-CS"/>
        </w:rPr>
        <w:t xml:space="preserve">ладе о броју места за упис у први разред средњих школа, Одлуке </w:t>
      </w:r>
      <w:r>
        <w:rPr>
          <w:lang w:val="sr-Cyrl-CS"/>
        </w:rPr>
        <w:t>м</w:t>
      </w:r>
      <w:r w:rsidRPr="00E217CD">
        <w:rPr>
          <w:lang w:val="sr-Cyrl-CS"/>
        </w:rPr>
        <w:t>инистра просвете, науке и технолошког развоја Републике Србије и Конкурса за упис ученика у с</w:t>
      </w:r>
      <w:r w:rsidR="000274B7">
        <w:rPr>
          <w:lang w:val="sr-Cyrl-CS"/>
        </w:rPr>
        <w:t>редње школе за школску 2014</w:t>
      </w:r>
      <w:r w:rsidRPr="00E217CD">
        <w:rPr>
          <w:lang w:val="sr-Cyrl-CS"/>
        </w:rPr>
        <w:t>/20</w:t>
      </w:r>
      <w:r w:rsidRPr="00E217CD">
        <w:rPr>
          <w:lang w:val="ru-RU"/>
        </w:rPr>
        <w:t>1</w:t>
      </w:r>
      <w:r w:rsidR="000274B7">
        <w:rPr>
          <w:lang w:val="ru-RU"/>
        </w:rPr>
        <w:t>5</w:t>
      </w:r>
      <w:r w:rsidRPr="00E217CD">
        <w:rPr>
          <w:lang w:val="sr-Cyrl-CS"/>
        </w:rPr>
        <w:t>. годину.</w:t>
      </w:r>
    </w:p>
    <w:p w:rsidR="00A968D5" w:rsidRPr="007C4F27" w:rsidRDefault="00A968D5" w:rsidP="00A968D5">
      <w:pPr>
        <w:ind w:firstLine="720"/>
        <w:jc w:val="both"/>
        <w:rPr>
          <w:lang w:val="ru-RU"/>
        </w:rPr>
      </w:pPr>
    </w:p>
    <w:p w:rsidR="00A968D5" w:rsidRPr="007C4F27" w:rsidRDefault="00A968D5" w:rsidP="00A968D5">
      <w:pPr>
        <w:ind w:firstLine="720"/>
        <w:jc w:val="both"/>
        <w:rPr>
          <w:lang w:val="ru-RU"/>
        </w:rPr>
      </w:pPr>
      <w:r w:rsidRPr="007C4F27">
        <w:rPr>
          <w:lang w:val="sr-Cyrl-CS"/>
        </w:rPr>
        <w:t>Министарство просвете</w:t>
      </w:r>
      <w:r>
        <w:rPr>
          <w:lang w:val="sr-Cyrl-CS"/>
        </w:rPr>
        <w:t>,</w:t>
      </w:r>
      <w:r w:rsidRPr="007C4F27">
        <w:rPr>
          <w:lang w:val="sr-Cyrl-CS"/>
        </w:rPr>
        <w:t xml:space="preserve"> науке </w:t>
      </w:r>
      <w:r>
        <w:rPr>
          <w:lang w:val="sr-Cyrl-CS"/>
        </w:rPr>
        <w:t xml:space="preserve">и технолошког развоја </w:t>
      </w:r>
      <w:r w:rsidRPr="007C4F27">
        <w:rPr>
          <w:lang w:val="sr-Cyrl-CS"/>
        </w:rPr>
        <w:t>Републике Србије објавило је Конкурс маја 20</w:t>
      </w:r>
      <w:r w:rsidRPr="007C4F27">
        <w:rPr>
          <w:lang w:val="ru-RU"/>
        </w:rPr>
        <w:t>1</w:t>
      </w:r>
      <w:r w:rsidR="000274B7">
        <w:rPr>
          <w:lang w:val="ru-RU"/>
        </w:rPr>
        <w:t>4</w:t>
      </w:r>
      <w:r w:rsidRPr="007C4F27">
        <w:rPr>
          <w:lang w:val="sr-Cyrl-CS"/>
        </w:rPr>
        <w:t>. године</w:t>
      </w:r>
      <w:r>
        <w:rPr>
          <w:lang w:val="sr-Cyrl-CS"/>
        </w:rPr>
        <w:t>,</w:t>
      </w:r>
      <w:r w:rsidRPr="007C4F27">
        <w:rPr>
          <w:lang w:val="sr-Cyrl-CS"/>
        </w:rPr>
        <w:t xml:space="preserve"> у специјалном броју Просветног прегледа који је био доступан основним и средњим школама.</w:t>
      </w:r>
    </w:p>
    <w:p w:rsidR="00A968D5" w:rsidRPr="007C4F27" w:rsidRDefault="00A968D5" w:rsidP="00A968D5">
      <w:pPr>
        <w:ind w:firstLine="720"/>
        <w:jc w:val="both"/>
        <w:rPr>
          <w:lang w:val="sr-Cyrl-CS"/>
        </w:rPr>
      </w:pPr>
    </w:p>
    <w:p w:rsidR="00A968D5" w:rsidRPr="007C4F27" w:rsidRDefault="00A968D5" w:rsidP="00A968D5">
      <w:pPr>
        <w:jc w:val="both"/>
        <w:rPr>
          <w:lang w:val="ru-RU"/>
        </w:rPr>
      </w:pPr>
      <w:r w:rsidRPr="007C4F27">
        <w:rPr>
          <w:lang w:val="sr-Cyrl-CS"/>
        </w:rPr>
        <w:tab/>
        <w:t>Одлуком Министарства просвете</w:t>
      </w:r>
      <w:r>
        <w:rPr>
          <w:lang w:val="sr-Cyrl-CS"/>
        </w:rPr>
        <w:t>,</w:t>
      </w:r>
      <w:r w:rsidRPr="007C4F27">
        <w:rPr>
          <w:lang w:val="sr-Cyrl-CS"/>
        </w:rPr>
        <w:t xml:space="preserve"> науке </w:t>
      </w:r>
      <w:r>
        <w:rPr>
          <w:lang w:val="sr-Cyrl-CS"/>
        </w:rPr>
        <w:t xml:space="preserve">и технолошког развоја </w:t>
      </w:r>
      <w:r w:rsidRPr="007C4F27">
        <w:rPr>
          <w:lang w:val="sr-Cyrl-CS"/>
        </w:rPr>
        <w:t>Републике Србије о упису ученика у средње школе за школску 20</w:t>
      </w:r>
      <w:r w:rsidRPr="007C4F27">
        <w:rPr>
          <w:lang w:val="ru-RU"/>
        </w:rPr>
        <w:t>1</w:t>
      </w:r>
      <w:r w:rsidR="000274B7">
        <w:rPr>
          <w:lang w:val="ru-RU"/>
        </w:rPr>
        <w:t>4</w:t>
      </w:r>
      <w:r w:rsidRPr="007C4F27">
        <w:rPr>
          <w:lang w:val="sr-Cyrl-CS"/>
        </w:rPr>
        <w:t>/20</w:t>
      </w:r>
      <w:r w:rsidRPr="007C4F27">
        <w:rPr>
          <w:lang w:val="ru-RU"/>
        </w:rPr>
        <w:t>1</w:t>
      </w:r>
      <w:r w:rsidR="000274B7">
        <w:rPr>
          <w:lang w:val="ru-RU"/>
        </w:rPr>
        <w:t>5</w:t>
      </w:r>
      <w:r w:rsidRPr="007C4F27">
        <w:rPr>
          <w:lang w:val="sr-Cyrl-CS"/>
        </w:rPr>
        <w:t>. годину, утврђен је број места за упис у први разред средњих школа</w:t>
      </w:r>
      <w:r w:rsidR="00BC7B13">
        <w:rPr>
          <w:lang w:val="sr-Cyrl-CS"/>
        </w:rPr>
        <w:t xml:space="preserve"> на територији Републике Србије</w:t>
      </w:r>
      <w:r w:rsidR="00DC10DB">
        <w:t xml:space="preserve"> </w:t>
      </w:r>
      <w:r w:rsidR="00DC10DB">
        <w:rPr>
          <w:lang w:val="sr-Cyrl-RS"/>
        </w:rPr>
        <w:t>по школама, подручјима рада, образовним профилима, трајању образовања и наставним језицима.</w:t>
      </w:r>
    </w:p>
    <w:p w:rsidR="00A968D5" w:rsidRDefault="00A968D5" w:rsidP="00A968D5">
      <w:pPr>
        <w:jc w:val="both"/>
      </w:pPr>
    </w:p>
    <w:p w:rsidR="00A968D5" w:rsidRPr="007C4F27" w:rsidRDefault="00A968D5" w:rsidP="00A968D5">
      <w:pPr>
        <w:jc w:val="both"/>
        <w:rPr>
          <w:lang w:val="ru-RU"/>
        </w:rPr>
      </w:pPr>
      <w:r w:rsidRPr="007C4F27">
        <w:rPr>
          <w:lang w:val="sr-Cyrl-CS"/>
        </w:rPr>
        <w:tab/>
        <w:t>Одлуком је посебно регулисан упис кандидата који су седми или осми разред основне школе завршили у иностранству</w:t>
      </w:r>
      <w:r>
        <w:rPr>
          <w:lang w:val="sr-Cyrl-CS"/>
        </w:rPr>
        <w:t>,</w:t>
      </w:r>
      <w:r w:rsidRPr="007C4F27">
        <w:rPr>
          <w:lang w:val="sr-Cyrl-CS"/>
        </w:rPr>
        <w:t xml:space="preserve"> као и начин вредновања општег успеха за кандидате који су шести разред основне школе завршили у иностранству.</w:t>
      </w:r>
    </w:p>
    <w:p w:rsidR="00A968D5" w:rsidRPr="007C4F27" w:rsidRDefault="00A968D5" w:rsidP="00A968D5">
      <w:pPr>
        <w:jc w:val="both"/>
        <w:rPr>
          <w:lang w:val="ru-RU"/>
        </w:rPr>
      </w:pPr>
    </w:p>
    <w:p w:rsidR="00A968D5" w:rsidRPr="007C4F27" w:rsidRDefault="00A968D5" w:rsidP="00A968D5">
      <w:pPr>
        <w:jc w:val="both"/>
        <w:rPr>
          <w:lang w:val="ru-RU"/>
        </w:rPr>
      </w:pPr>
      <w:r w:rsidRPr="007C4F27">
        <w:rPr>
          <w:lang w:val="sr-Cyrl-CS"/>
        </w:rPr>
        <w:tab/>
        <w:t>Услови за упис, поступак избора кандидата</w:t>
      </w:r>
      <w:r>
        <w:rPr>
          <w:lang w:val="sr-Cyrl-CS"/>
        </w:rPr>
        <w:t>,</w:t>
      </w:r>
      <w:r w:rsidRPr="007C4F27">
        <w:rPr>
          <w:lang w:val="sr-Cyrl-CS"/>
        </w:rPr>
        <w:t xml:space="preserve"> као и начин спровођења Конкурса били су саставни делови Одлуке и објављени су у Конкурсу.</w:t>
      </w:r>
    </w:p>
    <w:p w:rsidR="00A968D5" w:rsidRPr="007C4F27" w:rsidRDefault="00A968D5" w:rsidP="00A968D5">
      <w:pPr>
        <w:jc w:val="both"/>
        <w:rPr>
          <w:lang w:val="ru-RU"/>
        </w:rPr>
      </w:pPr>
    </w:p>
    <w:p w:rsidR="00A968D5" w:rsidRPr="007C4F27" w:rsidRDefault="00A968D5" w:rsidP="00A968D5">
      <w:pPr>
        <w:jc w:val="both"/>
        <w:rPr>
          <w:lang w:val="sr-Cyrl-CS"/>
        </w:rPr>
      </w:pPr>
      <w:r w:rsidRPr="007C4F27">
        <w:rPr>
          <w:lang w:val="sr-Cyrl-CS"/>
        </w:rPr>
        <w:tab/>
        <w:t>Конкурсом су дати услови за упис ученика, мерила и начин избора кандидата, календар уписа, посебни здравствени услови, потребна документа за упис ученика и преглед свих средњих школа у Републици Србији с планираним бројем места за упис ученика према подручју рада, трајању школовања и образовним профилима. Поред тога, посебно је назначен број места за упис ученика у школ</w:t>
      </w:r>
      <w:r>
        <w:rPr>
          <w:lang w:val="sr-Cyrl-CS"/>
        </w:rPr>
        <w:t xml:space="preserve">е </w:t>
      </w:r>
      <w:r w:rsidRPr="007C4F27">
        <w:rPr>
          <w:lang w:val="sr-Cyrl-CS"/>
        </w:rPr>
        <w:t>које организују наставу на језицима националних мањина</w:t>
      </w:r>
      <w:r w:rsidR="00BC7B13">
        <w:rPr>
          <w:lang w:val="sr-Cyrl-CS"/>
        </w:rPr>
        <w:t xml:space="preserve"> – националних заједница</w:t>
      </w:r>
      <w:r w:rsidRPr="007C4F27">
        <w:rPr>
          <w:lang w:val="sr-Cyrl-CS"/>
        </w:rPr>
        <w:t>.</w:t>
      </w:r>
    </w:p>
    <w:p w:rsidR="00A968D5" w:rsidRDefault="00A968D5" w:rsidP="00A968D5">
      <w:pPr>
        <w:jc w:val="both"/>
        <w:rPr>
          <w:lang w:val="ru-RU"/>
        </w:rPr>
      </w:pPr>
    </w:p>
    <w:p w:rsidR="00645C9B" w:rsidRDefault="00645C9B" w:rsidP="00A968D5">
      <w:pPr>
        <w:jc w:val="both"/>
        <w:rPr>
          <w:lang w:val="ru-RU"/>
        </w:rPr>
      </w:pPr>
      <w:r>
        <w:rPr>
          <w:lang w:val="ru-RU"/>
        </w:rPr>
        <w:tab/>
        <w:t>Ученици су полагали завршни испит који се састојао из три теста: тест из српског односно матерњег језика, математике и комб</w:t>
      </w:r>
      <w:r w:rsidR="00BC7B13">
        <w:rPr>
          <w:lang w:val="ru-RU"/>
        </w:rPr>
        <w:t>иновани тест из природних и дру</w:t>
      </w:r>
      <w:r>
        <w:rPr>
          <w:lang w:val="ru-RU"/>
        </w:rPr>
        <w:t>ш</w:t>
      </w:r>
      <w:r w:rsidR="00BC7B13">
        <w:rPr>
          <w:lang w:val="ru-RU"/>
        </w:rPr>
        <w:t>т</w:t>
      </w:r>
      <w:r>
        <w:rPr>
          <w:lang w:val="ru-RU"/>
        </w:rPr>
        <w:t>вених наука (биологија, географија, исорија, физика и хемија).</w:t>
      </w:r>
    </w:p>
    <w:p w:rsidR="00645C9B" w:rsidRPr="007C4F27" w:rsidRDefault="00645C9B" w:rsidP="00A968D5">
      <w:pPr>
        <w:jc w:val="both"/>
        <w:rPr>
          <w:lang w:val="ru-RU"/>
        </w:rPr>
      </w:pPr>
    </w:p>
    <w:p w:rsidR="00A968D5" w:rsidRPr="00933BBE" w:rsidRDefault="00A968D5" w:rsidP="00A968D5">
      <w:pPr>
        <w:jc w:val="both"/>
        <w:rPr>
          <w:lang w:val="ru-RU"/>
        </w:rPr>
      </w:pPr>
      <w:r w:rsidRPr="007C4F27">
        <w:rPr>
          <w:lang w:val="sr-Cyrl-CS"/>
        </w:rPr>
        <w:tab/>
        <w:t>Кандидати за упис у специјализоване школе, односно, специјализована</w:t>
      </w:r>
      <w:r w:rsidRPr="00933BBE">
        <w:rPr>
          <w:lang w:val="sr-Cyrl-CS"/>
        </w:rPr>
        <w:t xml:space="preserve"> одељења гимназија и уметничке школе, полагали су пријемни испит. На </w:t>
      </w:r>
      <w:r>
        <w:rPr>
          <w:lang w:val="sr-Cyrl-CS"/>
        </w:rPr>
        <w:t>т</w:t>
      </w:r>
      <w:r w:rsidRPr="00933BBE">
        <w:rPr>
          <w:lang w:val="sr-Cyrl-CS"/>
        </w:rPr>
        <w:t>ом испиту проверавана су одређена знања стечена у претходном образовању</w:t>
      </w:r>
      <w:r>
        <w:rPr>
          <w:lang w:val="sr-Cyrl-CS"/>
        </w:rPr>
        <w:t>, као</w:t>
      </w:r>
      <w:r w:rsidRPr="00933BBE">
        <w:rPr>
          <w:lang w:val="sr-Cyrl-CS"/>
        </w:rPr>
        <w:t xml:space="preserve"> и посебне способности кандидата, неопходне за одређену школу и образовни профил.</w:t>
      </w:r>
    </w:p>
    <w:p w:rsidR="00A968D5" w:rsidRPr="00933BBE" w:rsidRDefault="00A968D5" w:rsidP="00A968D5">
      <w:pPr>
        <w:jc w:val="both"/>
        <w:rPr>
          <w:lang w:val="ru-RU"/>
        </w:rPr>
      </w:pPr>
    </w:p>
    <w:p w:rsidR="00A968D5" w:rsidRPr="00933BBE" w:rsidRDefault="00A968D5" w:rsidP="00A968D5">
      <w:pPr>
        <w:ind w:firstLine="720"/>
        <w:jc w:val="both"/>
        <w:rPr>
          <w:lang w:val="ru-RU"/>
        </w:rPr>
      </w:pPr>
      <w:r w:rsidRPr="00933BBE">
        <w:rPr>
          <w:lang w:val="sr-Cyrl-CS"/>
        </w:rPr>
        <w:t>Календаром уписа прописани су услови и термини пријављивања уче</w:t>
      </w:r>
      <w:r>
        <w:rPr>
          <w:lang w:val="sr-Cyrl-CS"/>
        </w:rPr>
        <w:t xml:space="preserve">ника за упис, теримини </w:t>
      </w:r>
      <w:r w:rsidRPr="00A968D5">
        <w:rPr>
          <w:lang w:val="sr-Cyrl-CS"/>
        </w:rPr>
        <w:t xml:space="preserve">полагања пријемног и завршног испита, </w:t>
      </w:r>
      <w:r>
        <w:rPr>
          <w:lang w:val="sr-Cyrl-CS"/>
        </w:rPr>
        <w:t>као</w:t>
      </w:r>
      <w:r w:rsidRPr="00933BBE">
        <w:rPr>
          <w:lang w:val="sr-Cyrl-CS"/>
        </w:rPr>
        <w:t xml:space="preserve"> и </w:t>
      </w:r>
      <w:r>
        <w:rPr>
          <w:lang w:val="sr-Cyrl-CS"/>
        </w:rPr>
        <w:t xml:space="preserve">термини </w:t>
      </w:r>
      <w:r w:rsidRPr="00933BBE">
        <w:rPr>
          <w:lang w:val="sr-Cyrl-CS"/>
        </w:rPr>
        <w:t>уписа ученика у први разред средње школе за школску 20</w:t>
      </w:r>
      <w:r w:rsidRPr="00933BBE">
        <w:rPr>
          <w:lang w:val="ru-RU"/>
        </w:rPr>
        <w:t>1</w:t>
      </w:r>
      <w:r w:rsidR="00645C9B">
        <w:rPr>
          <w:lang w:val="ru-RU"/>
        </w:rPr>
        <w:t>4</w:t>
      </w:r>
      <w:r w:rsidRPr="00933BBE">
        <w:rPr>
          <w:lang w:val="sr-Cyrl-CS"/>
        </w:rPr>
        <w:t>/20</w:t>
      </w:r>
      <w:r w:rsidRPr="00933BBE">
        <w:rPr>
          <w:lang w:val="ru-RU"/>
        </w:rPr>
        <w:t>1</w:t>
      </w:r>
      <w:r w:rsidR="00645C9B">
        <w:rPr>
          <w:lang w:val="ru-RU"/>
        </w:rPr>
        <w:t>5</w:t>
      </w:r>
      <w:r w:rsidRPr="00933BBE">
        <w:rPr>
          <w:lang w:val="sr-Cyrl-CS"/>
        </w:rPr>
        <w:t>. годину.</w:t>
      </w:r>
    </w:p>
    <w:p w:rsidR="00A968D5" w:rsidRPr="00933BBE" w:rsidRDefault="00A968D5" w:rsidP="00A968D5">
      <w:pPr>
        <w:ind w:firstLine="720"/>
        <w:jc w:val="both"/>
        <w:rPr>
          <w:lang w:val="ru-RU"/>
        </w:rPr>
      </w:pPr>
    </w:p>
    <w:p w:rsidR="00A968D5" w:rsidRDefault="00A968D5" w:rsidP="00A968D5">
      <w:pPr>
        <w:ind w:firstLine="720"/>
        <w:jc w:val="both"/>
        <w:rPr>
          <w:lang w:val="ru-RU"/>
        </w:rPr>
      </w:pPr>
    </w:p>
    <w:p w:rsidR="00645C9B" w:rsidRDefault="00645C9B" w:rsidP="00A968D5">
      <w:pPr>
        <w:ind w:firstLine="720"/>
        <w:jc w:val="both"/>
        <w:rPr>
          <w:lang w:val="ru-RU"/>
        </w:rPr>
      </w:pPr>
    </w:p>
    <w:p w:rsidR="00645C9B" w:rsidRDefault="00645C9B" w:rsidP="00A968D5">
      <w:pPr>
        <w:ind w:firstLine="720"/>
        <w:jc w:val="both"/>
        <w:rPr>
          <w:lang w:val="ru-RU"/>
        </w:rPr>
      </w:pPr>
    </w:p>
    <w:p w:rsidR="00775F7F" w:rsidRDefault="00775F7F" w:rsidP="00A968D5">
      <w:pPr>
        <w:ind w:firstLine="720"/>
        <w:jc w:val="both"/>
        <w:rPr>
          <w:lang w:val="ru-RU"/>
        </w:rPr>
      </w:pPr>
    </w:p>
    <w:p w:rsidR="00645C9B" w:rsidRPr="00933BBE" w:rsidRDefault="00645C9B" w:rsidP="00A968D5">
      <w:pPr>
        <w:ind w:firstLine="720"/>
        <w:jc w:val="both"/>
        <w:rPr>
          <w:lang w:val="ru-RU"/>
        </w:rPr>
      </w:pPr>
    </w:p>
    <w:p w:rsidR="00A968D5" w:rsidRPr="00933BBE" w:rsidRDefault="00A968D5" w:rsidP="00A968D5">
      <w:pPr>
        <w:ind w:firstLine="720"/>
        <w:jc w:val="both"/>
        <w:rPr>
          <w:lang w:val="sr-Cyrl-CS"/>
        </w:rPr>
      </w:pPr>
    </w:p>
    <w:p w:rsidR="00A968D5" w:rsidRPr="00513248" w:rsidRDefault="00A968D5" w:rsidP="00A968D5">
      <w:pPr>
        <w:numPr>
          <w:ilvl w:val="0"/>
          <w:numId w:val="2"/>
        </w:numPr>
        <w:jc w:val="center"/>
        <w:rPr>
          <w:b/>
          <w:bCs/>
          <w:lang w:val="sr-Cyrl-CS"/>
        </w:rPr>
      </w:pPr>
      <w:r w:rsidRPr="00513248">
        <w:rPr>
          <w:b/>
          <w:bCs/>
          <w:lang w:val="sr-Cyrl-CS"/>
        </w:rPr>
        <w:lastRenderedPageBreak/>
        <w:t xml:space="preserve">УПИС УЧЕНИКА У ПРВИ РАЗРЕД СРЕДЊИХ ШКОЛА </w:t>
      </w:r>
    </w:p>
    <w:p w:rsidR="00A968D5" w:rsidRPr="00513248" w:rsidRDefault="00A968D5" w:rsidP="00A968D5">
      <w:pPr>
        <w:ind w:left="360"/>
        <w:jc w:val="center"/>
        <w:rPr>
          <w:b/>
          <w:bCs/>
          <w:lang w:val="sr-Cyrl-CS"/>
        </w:rPr>
      </w:pPr>
      <w:r w:rsidRPr="00513248">
        <w:rPr>
          <w:b/>
          <w:bCs/>
          <w:lang w:val="sr-Cyrl-CS"/>
        </w:rPr>
        <w:t>ЗА ШКОЛСКУ 20</w:t>
      </w:r>
      <w:r w:rsidRPr="00513248">
        <w:rPr>
          <w:b/>
          <w:bCs/>
          <w:lang w:val="ru-RU"/>
        </w:rPr>
        <w:t>1</w:t>
      </w:r>
      <w:r w:rsidR="00645C9B" w:rsidRPr="00513248">
        <w:rPr>
          <w:b/>
          <w:bCs/>
          <w:lang w:val="ru-RU"/>
        </w:rPr>
        <w:t>4</w:t>
      </w:r>
      <w:r w:rsidRPr="00513248">
        <w:rPr>
          <w:b/>
          <w:bCs/>
          <w:lang w:val="sr-Cyrl-CS"/>
        </w:rPr>
        <w:t>/20</w:t>
      </w:r>
      <w:r w:rsidRPr="00513248">
        <w:rPr>
          <w:b/>
          <w:bCs/>
          <w:lang w:val="ru-RU"/>
        </w:rPr>
        <w:t>1</w:t>
      </w:r>
      <w:r w:rsidR="00645C9B" w:rsidRPr="00513248">
        <w:rPr>
          <w:b/>
          <w:bCs/>
          <w:lang w:val="ru-RU"/>
        </w:rPr>
        <w:t>5</w:t>
      </w:r>
      <w:r w:rsidRPr="00513248">
        <w:rPr>
          <w:b/>
          <w:bCs/>
          <w:lang w:val="sr-Cyrl-CS"/>
        </w:rPr>
        <w:t>. ГОДИНУ</w:t>
      </w:r>
    </w:p>
    <w:p w:rsidR="00A968D5" w:rsidRDefault="00A968D5" w:rsidP="00A968D5">
      <w:pPr>
        <w:jc w:val="center"/>
        <w:rPr>
          <w:lang w:val="sr-Cyrl-CS"/>
        </w:rPr>
      </w:pPr>
    </w:p>
    <w:p w:rsidR="00B93361" w:rsidRPr="003472F0" w:rsidRDefault="00B93361" w:rsidP="00A968D5">
      <w:pPr>
        <w:jc w:val="center"/>
        <w:rPr>
          <w:lang w:val="sr-Cyrl-CS"/>
        </w:rPr>
      </w:pPr>
    </w:p>
    <w:p w:rsidR="00A968D5" w:rsidRPr="00933BBE" w:rsidRDefault="00A968D5" w:rsidP="00A968D5">
      <w:pPr>
        <w:jc w:val="center"/>
        <w:rPr>
          <w:lang w:val="sr-Cyrl-CS"/>
        </w:rPr>
      </w:pPr>
    </w:p>
    <w:p w:rsidR="00A968D5" w:rsidRPr="00933BBE" w:rsidRDefault="00A968D5" w:rsidP="00A968D5">
      <w:pPr>
        <w:pStyle w:val="BodyTextIndent"/>
        <w:rPr>
          <w:b/>
          <w:lang w:val="ru-RU"/>
        </w:rPr>
      </w:pPr>
      <w:r w:rsidRPr="00933BBE">
        <w:rPr>
          <w:lang w:val="ru-RU"/>
        </w:rPr>
        <w:t xml:space="preserve">На територији АП Војводине </w:t>
      </w:r>
      <w:r>
        <w:rPr>
          <w:lang w:val="ru-RU"/>
        </w:rPr>
        <w:t>постоји</w:t>
      </w:r>
      <w:r w:rsidRPr="00933BBE">
        <w:rPr>
          <w:lang w:val="ru-RU"/>
        </w:rPr>
        <w:t xml:space="preserve"> </w:t>
      </w:r>
      <w:r w:rsidRPr="00933BBE">
        <w:rPr>
          <w:b/>
          <w:lang w:val="ru-RU"/>
        </w:rPr>
        <w:t>131 средња школа</w:t>
      </w:r>
      <w:r w:rsidRPr="00933BBE">
        <w:rPr>
          <w:lang w:val="ru-RU"/>
        </w:rPr>
        <w:t xml:space="preserve">, од којих је </w:t>
      </w:r>
      <w:r>
        <w:rPr>
          <w:b/>
          <w:lang w:val="ru-RU"/>
        </w:rPr>
        <w:t>26</w:t>
      </w:r>
      <w:r w:rsidRPr="00933BBE">
        <w:rPr>
          <w:b/>
          <w:lang w:val="ru-RU"/>
        </w:rPr>
        <w:t xml:space="preserve"> гимназиј</w:t>
      </w:r>
      <w:r>
        <w:rPr>
          <w:b/>
          <w:lang w:val="en-US"/>
        </w:rPr>
        <w:t>a</w:t>
      </w:r>
      <w:r w:rsidRPr="00933BBE">
        <w:rPr>
          <w:lang w:val="ru-RU"/>
        </w:rPr>
        <w:t xml:space="preserve"> (општих и специјализованих), </w:t>
      </w:r>
      <w:r w:rsidRPr="00933BBE">
        <w:rPr>
          <w:b/>
          <w:lang w:val="ru-RU"/>
        </w:rPr>
        <w:t>75 стручних школа</w:t>
      </w:r>
      <w:r w:rsidRPr="00933BBE">
        <w:rPr>
          <w:lang w:val="ru-RU"/>
        </w:rPr>
        <w:t xml:space="preserve">, </w:t>
      </w:r>
      <w:r>
        <w:rPr>
          <w:b/>
          <w:lang w:val="ru-RU"/>
        </w:rPr>
        <w:t>десет</w:t>
      </w:r>
      <w:r w:rsidRPr="00933BBE">
        <w:rPr>
          <w:b/>
          <w:lang w:val="ru-RU"/>
        </w:rPr>
        <w:t xml:space="preserve"> мешовитих</w:t>
      </w:r>
      <w:r w:rsidRPr="00933BBE">
        <w:rPr>
          <w:lang w:val="ru-RU"/>
        </w:rPr>
        <w:t xml:space="preserve"> </w:t>
      </w:r>
      <w:r w:rsidRPr="008107FF">
        <w:rPr>
          <w:b/>
          <w:lang w:val="ru-RU"/>
        </w:rPr>
        <w:t>школа</w:t>
      </w:r>
      <w:r w:rsidRPr="00933BBE">
        <w:rPr>
          <w:lang w:val="ru-RU"/>
        </w:rPr>
        <w:t xml:space="preserve">, </w:t>
      </w:r>
      <w:r>
        <w:rPr>
          <w:b/>
          <w:lang w:val="ru-RU"/>
        </w:rPr>
        <w:t>десет</w:t>
      </w:r>
      <w:r w:rsidRPr="00933BBE">
        <w:rPr>
          <w:b/>
          <w:lang w:val="ru-RU"/>
        </w:rPr>
        <w:t xml:space="preserve"> уметничких школа</w:t>
      </w:r>
      <w:r w:rsidRPr="00933BBE">
        <w:rPr>
          <w:lang w:val="ru-RU"/>
        </w:rPr>
        <w:t xml:space="preserve"> и </w:t>
      </w:r>
      <w:r>
        <w:rPr>
          <w:b/>
          <w:lang w:val="ru-RU"/>
        </w:rPr>
        <w:t>десет</w:t>
      </w:r>
      <w:r w:rsidRPr="00933BBE">
        <w:rPr>
          <w:b/>
          <w:lang w:val="ru-RU"/>
        </w:rPr>
        <w:t xml:space="preserve"> средњих школа за ученике са сметњама у развоју. </w:t>
      </w:r>
    </w:p>
    <w:p w:rsidR="00A968D5" w:rsidRPr="00933BBE" w:rsidRDefault="00A968D5" w:rsidP="00A968D5">
      <w:pPr>
        <w:pStyle w:val="BodyTextIndent"/>
        <w:rPr>
          <w:b/>
          <w:lang w:val="ru-RU"/>
        </w:rPr>
      </w:pPr>
    </w:p>
    <w:p w:rsidR="00A968D5" w:rsidRPr="00B22E84" w:rsidRDefault="00A968D5" w:rsidP="00A968D5">
      <w:pPr>
        <w:jc w:val="both"/>
        <w:rPr>
          <w:lang w:val="sr-Cyrl-CS"/>
        </w:rPr>
      </w:pPr>
      <w:r w:rsidRPr="00933BBE">
        <w:rPr>
          <w:lang w:val="sr-Cyrl-CS"/>
        </w:rPr>
        <w:tab/>
        <w:t xml:space="preserve">Одлуком о броју </w:t>
      </w:r>
      <w:r>
        <w:rPr>
          <w:lang w:val="sr-Cyrl-CS"/>
        </w:rPr>
        <w:t>места</w:t>
      </w:r>
      <w:r w:rsidRPr="00933BBE">
        <w:rPr>
          <w:lang w:val="sr-Cyrl-CS"/>
        </w:rPr>
        <w:t xml:space="preserve"> за упис у први разред средњих школа чији је оснивач АП Војводина у школској 201</w:t>
      </w:r>
      <w:r w:rsidR="00645C9B">
        <w:rPr>
          <w:lang w:val="sr-Cyrl-CS"/>
        </w:rPr>
        <w:t>4</w:t>
      </w:r>
      <w:r w:rsidRPr="00933BBE">
        <w:rPr>
          <w:lang w:val="sr-Cyrl-CS"/>
        </w:rPr>
        <w:t>/201</w:t>
      </w:r>
      <w:r w:rsidR="00645C9B">
        <w:rPr>
          <w:lang w:val="sr-Cyrl-CS"/>
        </w:rPr>
        <w:t>5</w:t>
      </w:r>
      <w:r w:rsidRPr="00933BBE">
        <w:rPr>
          <w:lang w:val="sr-Cyrl-CS"/>
        </w:rPr>
        <w:t xml:space="preserve">. години, у средњим школама </w:t>
      </w:r>
      <w:r>
        <w:rPr>
          <w:lang w:val="sr-Cyrl-CS"/>
        </w:rPr>
        <w:t xml:space="preserve">на територији </w:t>
      </w:r>
      <w:r w:rsidRPr="00933BBE">
        <w:rPr>
          <w:lang w:val="sr-Cyrl-CS"/>
        </w:rPr>
        <w:t>АП Војводин</w:t>
      </w:r>
      <w:r>
        <w:rPr>
          <w:lang w:val="sr-Cyrl-CS"/>
        </w:rPr>
        <w:t>е</w:t>
      </w:r>
      <w:r w:rsidRPr="00933BBE">
        <w:rPr>
          <w:lang w:val="sr-Cyrl-CS"/>
        </w:rPr>
        <w:t xml:space="preserve"> </w:t>
      </w:r>
      <w:r>
        <w:rPr>
          <w:lang w:val="sr-Cyrl-CS"/>
        </w:rPr>
        <w:t xml:space="preserve">за упис је </w:t>
      </w:r>
      <w:r w:rsidRPr="008739E6">
        <w:rPr>
          <w:b/>
          <w:bCs/>
          <w:lang w:val="sr-Cyrl-CS"/>
        </w:rPr>
        <w:t>предвиђен</w:t>
      </w:r>
      <w:r>
        <w:rPr>
          <w:b/>
          <w:bCs/>
          <w:lang w:val="sr-Cyrl-CS"/>
        </w:rPr>
        <w:t>о</w:t>
      </w:r>
      <w:r w:rsidRPr="008739E6">
        <w:rPr>
          <w:b/>
          <w:bCs/>
          <w:lang w:val="sr-Cyrl-CS"/>
        </w:rPr>
        <w:t xml:space="preserve"> </w:t>
      </w:r>
      <w:r w:rsidRPr="008107FF">
        <w:rPr>
          <w:b/>
          <w:bCs/>
          <w:lang w:val="sr-Cyrl-CS"/>
        </w:rPr>
        <w:t>2</w:t>
      </w:r>
      <w:r>
        <w:rPr>
          <w:b/>
          <w:bCs/>
          <w:lang w:val="sr-Cyrl-CS"/>
        </w:rPr>
        <w:t>0</w:t>
      </w:r>
      <w:r w:rsidRPr="008107FF">
        <w:rPr>
          <w:b/>
          <w:bCs/>
          <w:lang w:val="sr-Cyrl-CS"/>
        </w:rPr>
        <w:t>.</w:t>
      </w:r>
      <w:r w:rsidR="00645C9B">
        <w:rPr>
          <w:b/>
          <w:bCs/>
          <w:lang w:val="sr-Cyrl-CS"/>
        </w:rPr>
        <w:t>229</w:t>
      </w:r>
      <w:r w:rsidRPr="008107FF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места</w:t>
      </w:r>
      <w:r w:rsidRPr="008107FF">
        <w:rPr>
          <w:b/>
          <w:bCs/>
          <w:lang w:val="sr-Cyrl-CS"/>
        </w:rPr>
        <w:t xml:space="preserve"> и то</w:t>
      </w:r>
      <w:r w:rsidRPr="008739E6">
        <w:rPr>
          <w:b/>
          <w:bCs/>
          <w:lang w:val="sr-Cyrl-CS"/>
        </w:rPr>
        <w:t>:</w:t>
      </w:r>
      <w:r w:rsidRPr="008739E6">
        <w:rPr>
          <w:lang w:val="sr-Cyrl-CS"/>
        </w:rPr>
        <w:t xml:space="preserve"> </w:t>
      </w:r>
    </w:p>
    <w:p w:rsidR="00A968D5" w:rsidRPr="00B22E84" w:rsidRDefault="00A968D5" w:rsidP="00A968D5">
      <w:pPr>
        <w:jc w:val="both"/>
        <w:rPr>
          <w:lang w:val="sr-Cyrl-CS"/>
        </w:rPr>
      </w:pPr>
    </w:p>
    <w:p w:rsidR="00A968D5" w:rsidRPr="006C4338" w:rsidRDefault="00A968D5" w:rsidP="00A968D5">
      <w:pPr>
        <w:ind w:left="720"/>
        <w:jc w:val="both"/>
        <w:rPr>
          <w:lang w:val="sr-Cyrl-CS"/>
        </w:rPr>
      </w:pPr>
      <w:r w:rsidRPr="006C4338">
        <w:rPr>
          <w:lang w:val="sr-Cyrl-CS"/>
        </w:rPr>
        <w:t xml:space="preserve">- </w:t>
      </w:r>
      <w:r w:rsidRPr="006C4338">
        <w:rPr>
          <w:b/>
          <w:bCs/>
          <w:lang w:val="sr-Cyrl-CS"/>
        </w:rPr>
        <w:t>1</w:t>
      </w:r>
      <w:r w:rsidR="00645C9B">
        <w:rPr>
          <w:b/>
          <w:bCs/>
          <w:lang w:val="sr-Cyrl-CS"/>
        </w:rPr>
        <w:t>4</w:t>
      </w:r>
      <w:r w:rsidRPr="00B22E84">
        <w:rPr>
          <w:b/>
          <w:bCs/>
          <w:lang w:val="sr-Cyrl-CS"/>
        </w:rPr>
        <w:t>.</w:t>
      </w:r>
      <w:r w:rsidR="00645C9B">
        <w:rPr>
          <w:b/>
          <w:bCs/>
          <w:lang w:val="sr-Cyrl-CS"/>
        </w:rPr>
        <w:t>944</w:t>
      </w:r>
      <w:r w:rsidRPr="006C4338">
        <w:rPr>
          <w:lang w:val="sr-Cyrl-CS"/>
        </w:rPr>
        <w:t xml:space="preserve"> места у </w:t>
      </w:r>
      <w:r w:rsidRPr="006C4338">
        <w:rPr>
          <w:b/>
          <w:bCs/>
          <w:lang w:val="sr-Cyrl-CS"/>
        </w:rPr>
        <w:t xml:space="preserve">75 стручних школа </w:t>
      </w:r>
      <w:r w:rsidRPr="006C4338">
        <w:rPr>
          <w:bCs/>
          <w:lang w:val="sr-Cyrl-CS"/>
        </w:rPr>
        <w:t>(3</w:t>
      </w:r>
      <w:r w:rsidRPr="00B22E84">
        <w:rPr>
          <w:bCs/>
          <w:lang w:val="sr-Cyrl-CS"/>
        </w:rPr>
        <w:t>.</w:t>
      </w:r>
      <w:r w:rsidR="00645C9B">
        <w:rPr>
          <w:bCs/>
          <w:lang w:val="sr-Cyrl-CS"/>
        </w:rPr>
        <w:t>734</w:t>
      </w:r>
      <w:r w:rsidRPr="006C4338">
        <w:rPr>
          <w:bCs/>
          <w:lang w:val="sr-Cyrl-CS"/>
        </w:rPr>
        <w:t xml:space="preserve"> места за трогодишње образовање и 11</w:t>
      </w:r>
      <w:r w:rsidRPr="00B22E84">
        <w:rPr>
          <w:bCs/>
          <w:lang w:val="sr-Cyrl-CS"/>
        </w:rPr>
        <w:t>.</w:t>
      </w:r>
      <w:r w:rsidR="00645C9B">
        <w:rPr>
          <w:bCs/>
          <w:lang w:val="sr-Cyrl-CS"/>
        </w:rPr>
        <w:t>210</w:t>
      </w:r>
      <w:r w:rsidRPr="006C4338">
        <w:rPr>
          <w:bCs/>
          <w:lang w:val="sr-Cyrl-CS"/>
        </w:rPr>
        <w:t xml:space="preserve"> мест</w:t>
      </w:r>
      <w:r>
        <w:rPr>
          <w:bCs/>
          <w:lang w:val="sr-Cyrl-CS"/>
        </w:rPr>
        <w:t>а</w:t>
      </w:r>
      <w:r w:rsidRPr="006C4338">
        <w:rPr>
          <w:bCs/>
          <w:lang w:val="sr-Cyrl-CS"/>
        </w:rPr>
        <w:t xml:space="preserve"> за четворогодишње образовање)</w:t>
      </w:r>
      <w:r w:rsidRPr="006C4338">
        <w:rPr>
          <w:lang w:val="sr-Cyrl-CS"/>
        </w:rPr>
        <w:t xml:space="preserve">; </w:t>
      </w:r>
    </w:p>
    <w:p w:rsidR="00A968D5" w:rsidRPr="006C4338" w:rsidRDefault="00A968D5" w:rsidP="00A968D5">
      <w:pPr>
        <w:ind w:left="720"/>
        <w:jc w:val="both"/>
        <w:rPr>
          <w:lang w:val="sr-Cyrl-CS"/>
        </w:rPr>
      </w:pPr>
      <w:r w:rsidRPr="006C4338">
        <w:rPr>
          <w:lang w:val="sr-Cyrl-CS"/>
        </w:rPr>
        <w:t xml:space="preserve">- </w:t>
      </w:r>
      <w:r w:rsidRPr="00B22E84">
        <w:rPr>
          <w:b/>
          <w:bCs/>
          <w:lang w:val="sr-Cyrl-CS"/>
        </w:rPr>
        <w:t>3.</w:t>
      </w:r>
      <w:r w:rsidR="00645C9B">
        <w:rPr>
          <w:b/>
          <w:bCs/>
          <w:lang w:val="sr-Cyrl-RS"/>
        </w:rPr>
        <w:t>732</w:t>
      </w:r>
      <w:r w:rsidRPr="006C4338">
        <w:rPr>
          <w:lang w:val="sr-Cyrl-CS"/>
        </w:rPr>
        <w:t xml:space="preserve"> места у </w:t>
      </w:r>
      <w:r w:rsidRPr="006C4338">
        <w:rPr>
          <w:b/>
          <w:bCs/>
          <w:lang w:val="sr-Cyrl-CS"/>
        </w:rPr>
        <w:t>2</w:t>
      </w:r>
      <w:r w:rsidRPr="00B22E84">
        <w:rPr>
          <w:b/>
          <w:bCs/>
          <w:lang w:val="sr-Cyrl-CS"/>
        </w:rPr>
        <w:t>6</w:t>
      </w:r>
      <w:r w:rsidRPr="006C4338">
        <w:rPr>
          <w:b/>
          <w:bCs/>
          <w:lang w:val="sr-Cyrl-CS"/>
        </w:rPr>
        <w:t xml:space="preserve"> гимназија</w:t>
      </w:r>
      <w:r w:rsidRPr="006C4338">
        <w:rPr>
          <w:lang w:val="sr-Cyrl-CS"/>
        </w:rPr>
        <w:t xml:space="preserve"> (</w:t>
      </w:r>
      <w:r>
        <w:rPr>
          <w:lang w:val="sr-Cyrl-CS"/>
        </w:rPr>
        <w:t xml:space="preserve">од којих је </w:t>
      </w:r>
      <w:r w:rsidRPr="006C4338">
        <w:rPr>
          <w:lang w:val="sr-Cyrl-CS"/>
        </w:rPr>
        <w:t>у специјализованим гимназијама за обдарене ученике филолошке струке 192 места, 60 места за обдарене ученике математичке струке</w:t>
      </w:r>
      <w:r w:rsidR="00645C9B">
        <w:rPr>
          <w:lang w:val="sr-Cyrl-CS"/>
        </w:rPr>
        <w:t xml:space="preserve"> и 40 места за обдарене ученике рачунарске гимназије</w:t>
      </w:r>
      <w:r w:rsidRPr="006C4338">
        <w:rPr>
          <w:lang w:val="sr-Cyrl-CS"/>
        </w:rPr>
        <w:t>);</w:t>
      </w:r>
    </w:p>
    <w:p w:rsidR="00A968D5" w:rsidRPr="006C4338" w:rsidRDefault="00A968D5" w:rsidP="00A968D5">
      <w:pPr>
        <w:ind w:left="720"/>
        <w:jc w:val="both"/>
        <w:rPr>
          <w:lang w:val="sr-Cyrl-CS"/>
        </w:rPr>
      </w:pPr>
      <w:r w:rsidRPr="006C4338">
        <w:rPr>
          <w:lang w:val="sr-Cyrl-CS"/>
        </w:rPr>
        <w:t xml:space="preserve">- </w:t>
      </w:r>
      <w:r w:rsidR="00645C9B">
        <w:rPr>
          <w:b/>
          <w:bCs/>
          <w:lang w:val="sr-Cyrl-CS"/>
        </w:rPr>
        <w:t>473</w:t>
      </w:r>
      <w:r w:rsidRPr="006C4338">
        <w:rPr>
          <w:lang w:val="sr-Cyrl-CS"/>
        </w:rPr>
        <w:t xml:space="preserve"> места у </w:t>
      </w:r>
      <w:r>
        <w:rPr>
          <w:b/>
          <w:lang w:val="sr-Cyrl-CS"/>
        </w:rPr>
        <w:t>десет</w:t>
      </w:r>
      <w:r w:rsidRPr="006C4338">
        <w:rPr>
          <w:b/>
          <w:bCs/>
          <w:lang w:val="sr-Cyrl-CS"/>
        </w:rPr>
        <w:t xml:space="preserve"> уметничких школа</w:t>
      </w:r>
      <w:r w:rsidRPr="006C4338">
        <w:rPr>
          <w:lang w:val="sr-Cyrl-CS"/>
        </w:rPr>
        <w:t xml:space="preserve">;     </w:t>
      </w:r>
    </w:p>
    <w:p w:rsidR="00A968D5" w:rsidRPr="008240FD" w:rsidRDefault="00A968D5" w:rsidP="00A968D5">
      <w:pPr>
        <w:pStyle w:val="BodyTextIndent2"/>
        <w:rPr>
          <w:color w:val="auto"/>
          <w:lang w:val="ru-RU"/>
        </w:rPr>
      </w:pPr>
      <w:r w:rsidRPr="008240FD">
        <w:rPr>
          <w:color w:val="auto"/>
          <w:lang w:val="ru-RU"/>
        </w:rPr>
        <w:t>-</w:t>
      </w:r>
      <w:r w:rsidRPr="008240FD">
        <w:rPr>
          <w:b/>
          <w:bCs/>
          <w:color w:val="auto"/>
        </w:rPr>
        <w:t>1</w:t>
      </w:r>
      <w:r w:rsidRPr="00B22E84">
        <w:rPr>
          <w:b/>
          <w:bCs/>
          <w:color w:val="auto"/>
        </w:rPr>
        <w:t>.</w:t>
      </w:r>
      <w:r w:rsidR="00645C9B">
        <w:rPr>
          <w:b/>
          <w:bCs/>
          <w:color w:val="auto"/>
          <w:lang w:val="sr-Cyrl-RS"/>
        </w:rPr>
        <w:t>080</w:t>
      </w:r>
      <w:r w:rsidRPr="008240FD">
        <w:rPr>
          <w:color w:val="auto"/>
          <w:lang w:val="ru-RU"/>
        </w:rPr>
        <w:t xml:space="preserve"> места у </w:t>
      </w:r>
      <w:r>
        <w:rPr>
          <w:b/>
          <w:bCs/>
          <w:color w:val="auto"/>
          <w:lang w:val="ru-RU"/>
        </w:rPr>
        <w:t>десет</w:t>
      </w:r>
      <w:r w:rsidRPr="008240FD">
        <w:rPr>
          <w:b/>
          <w:bCs/>
          <w:color w:val="auto"/>
          <w:lang w:val="ru-RU"/>
        </w:rPr>
        <w:t xml:space="preserve"> мешовитих школа</w:t>
      </w:r>
      <w:r w:rsidRPr="008240FD">
        <w:rPr>
          <w:color w:val="auto"/>
          <w:lang w:val="ru-RU"/>
        </w:rPr>
        <w:t xml:space="preserve"> (у средњем стручном образовању предвиђен</w:t>
      </w:r>
      <w:r>
        <w:rPr>
          <w:color w:val="auto"/>
          <w:lang w:val="ru-RU"/>
        </w:rPr>
        <w:t>а</w:t>
      </w:r>
      <w:r w:rsidRPr="008240FD">
        <w:rPr>
          <w:color w:val="auto"/>
          <w:lang w:val="ru-RU"/>
        </w:rPr>
        <w:t xml:space="preserve"> </w:t>
      </w:r>
      <w:r>
        <w:rPr>
          <w:color w:val="auto"/>
          <w:lang w:val="ru-RU"/>
        </w:rPr>
        <w:t>су</w:t>
      </w:r>
      <w:r w:rsidR="00B32B8E">
        <w:rPr>
          <w:color w:val="auto"/>
          <w:lang w:val="ru-RU"/>
        </w:rPr>
        <w:t xml:space="preserve"> 72</w:t>
      </w:r>
      <w:r w:rsidR="00645C9B">
        <w:rPr>
          <w:color w:val="auto"/>
          <w:lang w:val="ru-RU"/>
        </w:rPr>
        <w:t>0</w:t>
      </w:r>
      <w:r w:rsidRPr="008240FD">
        <w:rPr>
          <w:color w:val="auto"/>
          <w:lang w:val="ru-RU"/>
        </w:rPr>
        <w:t xml:space="preserve"> места – 1</w:t>
      </w:r>
      <w:r w:rsidR="00B32B8E">
        <w:rPr>
          <w:color w:val="auto"/>
          <w:lang w:val="sr-Cyrl-RS"/>
        </w:rPr>
        <w:t>50</w:t>
      </w:r>
      <w:r w:rsidRPr="008240FD">
        <w:rPr>
          <w:color w:val="auto"/>
          <w:lang w:val="ru-RU"/>
        </w:rPr>
        <w:t xml:space="preserve"> места за трогодишње образовање и </w:t>
      </w:r>
      <w:r w:rsidRPr="008240FD">
        <w:rPr>
          <w:color w:val="auto"/>
          <w:lang w:val="sr-Cyrl-RS"/>
        </w:rPr>
        <w:t>5</w:t>
      </w:r>
      <w:r w:rsidR="00B32B8E">
        <w:rPr>
          <w:color w:val="auto"/>
          <w:lang w:val="sr-Cyrl-RS"/>
        </w:rPr>
        <w:t>70</w:t>
      </w:r>
      <w:r w:rsidRPr="008240FD">
        <w:rPr>
          <w:color w:val="auto"/>
          <w:lang w:val="ru-RU"/>
        </w:rPr>
        <w:t xml:space="preserve"> места за четворогодишње образовање, а за гимназијско образовање </w:t>
      </w:r>
      <w:r>
        <w:rPr>
          <w:color w:val="auto"/>
          <w:lang w:val="ru-RU"/>
        </w:rPr>
        <w:t xml:space="preserve">– </w:t>
      </w:r>
      <w:r w:rsidR="00B32B8E">
        <w:rPr>
          <w:color w:val="auto"/>
          <w:lang w:val="sr-Cyrl-RS"/>
        </w:rPr>
        <w:t>36</w:t>
      </w:r>
      <w:r w:rsidRPr="008240FD">
        <w:rPr>
          <w:color w:val="auto"/>
        </w:rPr>
        <w:t>0</w:t>
      </w:r>
      <w:r w:rsidRPr="008240FD">
        <w:rPr>
          <w:color w:val="auto"/>
          <w:lang w:val="ru-RU"/>
        </w:rPr>
        <w:t xml:space="preserve"> места);</w:t>
      </w:r>
    </w:p>
    <w:p w:rsidR="00A968D5" w:rsidRPr="008240FD" w:rsidRDefault="00A968D5" w:rsidP="00A968D5">
      <w:pPr>
        <w:pStyle w:val="BodyTextIndent2"/>
        <w:rPr>
          <w:color w:val="auto"/>
          <w:lang w:val="ru-RU"/>
        </w:rPr>
      </w:pPr>
      <w:r w:rsidRPr="008240FD">
        <w:rPr>
          <w:color w:val="auto"/>
          <w:lang w:val="ru-RU"/>
        </w:rPr>
        <w:t xml:space="preserve">- </w:t>
      </w:r>
      <w:r w:rsidRPr="008240FD">
        <w:rPr>
          <w:color w:val="auto"/>
          <w:lang w:val="sr-Cyrl-RS"/>
        </w:rPr>
        <w:t>5</w:t>
      </w:r>
      <w:r w:rsidR="00B32B8E">
        <w:rPr>
          <w:color w:val="auto"/>
          <w:lang w:val="sr-Cyrl-RS"/>
        </w:rPr>
        <w:t>54</w:t>
      </w:r>
      <w:r w:rsidRPr="008240FD">
        <w:rPr>
          <w:color w:val="auto"/>
          <w:lang w:val="ru-RU"/>
        </w:rPr>
        <w:t xml:space="preserve"> места у </w:t>
      </w:r>
      <w:r>
        <w:rPr>
          <w:b/>
          <w:bCs/>
          <w:color w:val="auto"/>
          <w:lang w:val="ru-RU"/>
        </w:rPr>
        <w:t>десет</w:t>
      </w:r>
      <w:r w:rsidRPr="008240FD">
        <w:rPr>
          <w:b/>
          <w:bCs/>
          <w:color w:val="auto"/>
          <w:lang w:val="ru-RU"/>
        </w:rPr>
        <w:t xml:space="preserve"> средњих школа за образовање ученика са сметњама у развоју</w:t>
      </w:r>
      <w:r>
        <w:rPr>
          <w:b/>
          <w:bCs/>
          <w:color w:val="auto"/>
          <w:lang w:val="ru-RU"/>
        </w:rPr>
        <w:t>,</w:t>
      </w:r>
      <w:r w:rsidRPr="008240FD">
        <w:rPr>
          <w:color w:val="auto"/>
          <w:lang w:val="ru-RU"/>
        </w:rPr>
        <w:t xml:space="preserve"> </w:t>
      </w:r>
      <w:r>
        <w:rPr>
          <w:color w:val="auto"/>
          <w:lang w:val="ru-RU"/>
        </w:rPr>
        <w:t>при чему је</w:t>
      </w:r>
      <w:r w:rsidRPr="008240FD">
        <w:rPr>
          <w:color w:val="auto"/>
          <w:lang w:val="ru-RU"/>
        </w:rPr>
        <w:t xml:space="preserve"> </w:t>
      </w:r>
      <w:r w:rsidR="00B32B8E">
        <w:rPr>
          <w:color w:val="auto"/>
          <w:lang w:val="ru-RU"/>
        </w:rPr>
        <w:t>26</w:t>
      </w:r>
      <w:r w:rsidRPr="008240FD">
        <w:rPr>
          <w:color w:val="auto"/>
          <w:lang w:val="ru-RU"/>
        </w:rPr>
        <w:t xml:space="preserve"> места планирано за упис ученика са сметњама у развоју у први разред средњег образовања </w:t>
      </w:r>
      <w:r>
        <w:rPr>
          <w:color w:val="auto"/>
          <w:lang w:val="ru-RU"/>
        </w:rPr>
        <w:t>у</w:t>
      </w:r>
      <w:r w:rsidRPr="008240FD">
        <w:rPr>
          <w:color w:val="auto"/>
          <w:lang w:val="ru-RU"/>
        </w:rPr>
        <w:t xml:space="preserve"> Средњој стручној шклоли </w:t>
      </w:r>
      <w:r>
        <w:rPr>
          <w:color w:val="auto"/>
          <w:lang w:val="ru-RU"/>
        </w:rPr>
        <w:t>„</w:t>
      </w:r>
      <w:r w:rsidRPr="008240FD">
        <w:rPr>
          <w:color w:val="auto"/>
          <w:lang w:val="ru-RU"/>
        </w:rPr>
        <w:t>4. јули</w:t>
      </w:r>
      <w:r>
        <w:rPr>
          <w:color w:val="auto"/>
          <w:lang w:val="ru-RU"/>
        </w:rPr>
        <w:t>”</w:t>
      </w:r>
      <w:r w:rsidRPr="008240FD">
        <w:rPr>
          <w:color w:val="auto"/>
          <w:lang w:val="ru-RU"/>
        </w:rPr>
        <w:t xml:space="preserve"> у Врбасу</w:t>
      </w:r>
      <w:r>
        <w:rPr>
          <w:color w:val="auto"/>
          <w:lang w:val="ru-RU"/>
        </w:rPr>
        <w:t xml:space="preserve"> (планирани број места за упис ученика са сметњама у развоју не улази у укупну квоту планираних места за упис редовних ученика у први разред средњих школа на територији АП Војводине)</w:t>
      </w:r>
      <w:r w:rsidRPr="008240FD">
        <w:rPr>
          <w:color w:val="auto"/>
          <w:lang w:val="ru-RU"/>
        </w:rPr>
        <w:t>.</w:t>
      </w:r>
      <w:r>
        <w:rPr>
          <w:color w:val="auto"/>
          <w:lang w:val="ru-RU"/>
        </w:rPr>
        <w:t xml:space="preserve"> </w:t>
      </w:r>
    </w:p>
    <w:p w:rsidR="00A968D5" w:rsidRPr="00723059" w:rsidRDefault="00A968D5" w:rsidP="00A968D5">
      <w:pPr>
        <w:jc w:val="both"/>
        <w:rPr>
          <w:color w:val="FF0000"/>
          <w:lang w:val="sr-Cyrl-CS"/>
        </w:rPr>
      </w:pPr>
    </w:p>
    <w:p w:rsidR="00513248" w:rsidRPr="00513248" w:rsidRDefault="00A968D5" w:rsidP="00513248">
      <w:pPr>
        <w:ind w:firstLine="720"/>
        <w:jc w:val="both"/>
        <w:rPr>
          <w:lang w:val="sr-Cyrl-CS"/>
        </w:rPr>
      </w:pPr>
      <w:r w:rsidRPr="00350173">
        <w:rPr>
          <w:lang w:val="sr-Cyrl-CS"/>
        </w:rPr>
        <w:t>Конкурсом</w:t>
      </w:r>
      <w:r w:rsidRPr="007C4F27">
        <w:rPr>
          <w:lang w:val="sr-Cyrl-CS"/>
        </w:rPr>
        <w:t xml:space="preserve"> Министарства просвете</w:t>
      </w:r>
      <w:r w:rsidRPr="00B22E84">
        <w:rPr>
          <w:lang w:val="sr-Cyrl-CS"/>
        </w:rPr>
        <w:t xml:space="preserve">, </w:t>
      </w:r>
      <w:r>
        <w:rPr>
          <w:lang w:val="sr-Cyrl-RS"/>
        </w:rPr>
        <w:t>науке и технолошког развоја</w:t>
      </w:r>
      <w:r w:rsidRPr="007C4F27">
        <w:rPr>
          <w:lang w:val="sr-Cyrl-CS"/>
        </w:rPr>
        <w:t xml:space="preserve"> Републике Србије </w:t>
      </w:r>
      <w:r>
        <w:rPr>
          <w:lang w:val="sr-Cyrl-CS"/>
        </w:rPr>
        <w:t>и Допунама Конкурса одобрена</w:t>
      </w:r>
      <w:r w:rsidRPr="00F723ED">
        <w:rPr>
          <w:b/>
          <w:lang w:val="sr-Cyrl-CS"/>
        </w:rPr>
        <w:t xml:space="preserve"> </w:t>
      </w:r>
      <w:r>
        <w:rPr>
          <w:lang w:val="sr-Cyrl-CS"/>
        </w:rPr>
        <w:t xml:space="preserve">су </w:t>
      </w:r>
      <w:r w:rsidRPr="00F723ED">
        <w:rPr>
          <w:b/>
          <w:lang w:val="sr-Cyrl-CS"/>
        </w:rPr>
        <w:t>2</w:t>
      </w:r>
      <w:r w:rsidR="00B32B8E">
        <w:rPr>
          <w:b/>
          <w:lang w:val="sr-Cyrl-CS"/>
        </w:rPr>
        <w:t>0</w:t>
      </w:r>
      <w:r w:rsidRPr="00F723ED">
        <w:rPr>
          <w:b/>
          <w:lang w:val="sr-Cyrl-CS"/>
        </w:rPr>
        <w:t>.</w:t>
      </w:r>
      <w:r w:rsidR="00B32B8E">
        <w:rPr>
          <w:b/>
          <w:lang w:val="sr-Cyrl-CS"/>
        </w:rPr>
        <w:t>389</w:t>
      </w:r>
      <w:r w:rsidRPr="00933BBE">
        <w:rPr>
          <w:lang w:val="sr-Cyrl-CS"/>
        </w:rPr>
        <w:t xml:space="preserve"> </w:t>
      </w:r>
      <w:r>
        <w:rPr>
          <w:lang w:val="sr-Cyrl-CS"/>
        </w:rPr>
        <w:t>мест</w:t>
      </w:r>
      <w:r>
        <w:t>a</w:t>
      </w:r>
      <w:r>
        <w:rPr>
          <w:lang w:val="sr-Cyrl-CS"/>
        </w:rPr>
        <w:t xml:space="preserve"> за упис ученика, </w:t>
      </w:r>
      <w:r w:rsidRPr="00B40579">
        <w:rPr>
          <w:lang w:val="sr-Cyrl-CS"/>
        </w:rPr>
        <w:t xml:space="preserve">односно </w:t>
      </w:r>
      <w:r w:rsidR="00B32B8E">
        <w:rPr>
          <w:lang w:val="ru-RU"/>
        </w:rPr>
        <w:t>160</w:t>
      </w:r>
      <w:r w:rsidRPr="00B40579">
        <w:rPr>
          <w:lang w:val="sr-Cyrl-CS"/>
        </w:rPr>
        <w:t xml:space="preserve"> места више него у Одлуци</w:t>
      </w:r>
      <w:r>
        <w:rPr>
          <w:lang w:val="sr-Cyrl-CS"/>
        </w:rPr>
        <w:t xml:space="preserve"> </w:t>
      </w:r>
      <w:r w:rsidRPr="00933BBE">
        <w:rPr>
          <w:lang w:val="sr-Cyrl-CS"/>
        </w:rPr>
        <w:t xml:space="preserve">о броју </w:t>
      </w:r>
      <w:r>
        <w:rPr>
          <w:lang w:val="sr-Cyrl-CS"/>
        </w:rPr>
        <w:t>места</w:t>
      </w:r>
      <w:r w:rsidRPr="00933BBE">
        <w:rPr>
          <w:lang w:val="sr-Cyrl-CS"/>
        </w:rPr>
        <w:t xml:space="preserve"> за упис у први разред средњих школа чији је оснивач АП Војводина у школској 201</w:t>
      </w:r>
      <w:r w:rsidR="00B32B8E">
        <w:rPr>
          <w:lang w:val="sr-Cyrl-CS"/>
        </w:rPr>
        <w:t>4</w:t>
      </w:r>
      <w:r w:rsidRPr="00933BBE">
        <w:rPr>
          <w:lang w:val="sr-Cyrl-CS"/>
        </w:rPr>
        <w:t>/201</w:t>
      </w:r>
      <w:r w:rsidR="00B32B8E">
        <w:rPr>
          <w:lang w:val="sr-Cyrl-CS"/>
        </w:rPr>
        <w:t>5</w:t>
      </w:r>
      <w:r w:rsidRPr="00933BBE">
        <w:rPr>
          <w:lang w:val="sr-Cyrl-CS"/>
        </w:rPr>
        <w:t xml:space="preserve">. </w:t>
      </w:r>
      <w:r w:rsidR="00513248">
        <w:rPr>
          <w:lang w:val="sr-Cyrl-CS"/>
        </w:rPr>
        <w:t>г</w:t>
      </w:r>
      <w:r w:rsidRPr="00933BBE">
        <w:rPr>
          <w:lang w:val="sr-Cyrl-CS"/>
        </w:rPr>
        <w:t>одини</w:t>
      </w:r>
      <w:r w:rsidR="00513248">
        <w:rPr>
          <w:lang w:val="sr-Cyrl-CS"/>
        </w:rPr>
        <w:t xml:space="preserve">. Наиме, </w:t>
      </w:r>
      <w:r w:rsidR="00513248" w:rsidRPr="00513248">
        <w:rPr>
          <w:lang w:val="sr-Cyrl-CS"/>
        </w:rPr>
        <w:t xml:space="preserve">због потребе привреде је накнадно одобрен упис трогодишњих занимања као што су </w:t>
      </w:r>
      <w:r w:rsidR="00F8053B">
        <w:rPr>
          <w:lang w:val="sr-Cyrl-CS"/>
        </w:rPr>
        <w:t xml:space="preserve">руковалац постројења за добијање нафте, </w:t>
      </w:r>
      <w:r w:rsidR="00513248" w:rsidRPr="00513248">
        <w:rPr>
          <w:lang w:val="sr-Cyrl-CS"/>
        </w:rPr>
        <w:t xml:space="preserve">бравар, заваривач, електричар, индустријски механичар. </w:t>
      </w:r>
    </w:p>
    <w:p w:rsidR="00C330E4" w:rsidRDefault="00C330E4" w:rsidP="00A968D5">
      <w:pPr>
        <w:ind w:firstLine="720"/>
        <w:jc w:val="both"/>
        <w:rPr>
          <w:lang w:val="sr-Cyrl-CS"/>
        </w:rPr>
      </w:pPr>
    </w:p>
    <w:p w:rsidR="00A968D5" w:rsidRPr="00DC6F31" w:rsidRDefault="00A968D5" w:rsidP="00C330E4">
      <w:pPr>
        <w:pStyle w:val="BodyTextIndent"/>
        <w:ind w:firstLine="357"/>
        <w:rPr>
          <w:lang w:val="ru-RU"/>
        </w:rPr>
      </w:pPr>
      <w:r w:rsidRPr="00DC6F31">
        <w:rPr>
          <w:lang w:val="ru-RU"/>
        </w:rPr>
        <w:t>Новине у плану уписа у школској 201</w:t>
      </w:r>
      <w:r w:rsidR="00240DB0" w:rsidRPr="00DC6F31">
        <w:rPr>
          <w:lang w:val="ru-RU"/>
        </w:rPr>
        <w:t>4</w:t>
      </w:r>
      <w:r w:rsidRPr="00DC6F31">
        <w:rPr>
          <w:lang w:val="ru-RU"/>
        </w:rPr>
        <w:t>/201</w:t>
      </w:r>
      <w:r w:rsidR="00240DB0" w:rsidRPr="00DC6F31">
        <w:rPr>
          <w:lang w:val="ru-RU"/>
        </w:rPr>
        <w:t>5</w:t>
      </w:r>
      <w:r w:rsidRPr="00DC6F31">
        <w:rPr>
          <w:lang w:val="ru-RU"/>
        </w:rPr>
        <w:t>. години биле су:</w:t>
      </w:r>
    </w:p>
    <w:p w:rsidR="00A968D5" w:rsidRPr="00C330E4" w:rsidRDefault="00A968D5" w:rsidP="00A968D5">
      <w:pPr>
        <w:pStyle w:val="MAARSKI"/>
        <w:numPr>
          <w:ilvl w:val="0"/>
          <w:numId w:val="8"/>
        </w:numPr>
        <w:tabs>
          <w:tab w:val="clear" w:pos="9072"/>
          <w:tab w:val="clear" w:pos="9639"/>
          <w:tab w:val="left" w:pos="8985"/>
        </w:tabs>
        <w:ind w:left="714" w:hanging="357"/>
        <w:jc w:val="both"/>
        <w:rPr>
          <w:rFonts w:ascii="Times New Roman" w:hAnsi="Times New Roman"/>
          <w:caps w:val="0"/>
          <w:sz w:val="24"/>
          <w:szCs w:val="24"/>
        </w:rPr>
      </w:pPr>
      <w:r w:rsidRPr="00C330E4">
        <w:rPr>
          <w:rFonts w:ascii="Times New Roman" w:hAnsi="Times New Roman"/>
          <w:caps w:val="0"/>
          <w:sz w:val="24"/>
          <w:szCs w:val="24"/>
        </w:rPr>
        <w:t xml:space="preserve">У </w:t>
      </w:r>
      <w:r w:rsidR="00F8053B">
        <w:rPr>
          <w:rFonts w:ascii="Times New Roman" w:hAnsi="Times New Roman"/>
          <w:caps w:val="0"/>
          <w:sz w:val="24"/>
          <w:szCs w:val="24"/>
          <w:lang w:val="sr-Cyrl-RS"/>
        </w:rPr>
        <w:t>осам</w:t>
      </w:r>
      <w:r w:rsidRPr="00C330E4">
        <w:rPr>
          <w:rFonts w:ascii="Times New Roman" w:hAnsi="Times New Roman"/>
          <w:caps w:val="0"/>
          <w:sz w:val="24"/>
          <w:szCs w:val="24"/>
          <w:lang w:val="sr-Cyrl-RS"/>
        </w:rPr>
        <w:t xml:space="preserve"> </w:t>
      </w:r>
      <w:r w:rsidRPr="00C330E4">
        <w:rPr>
          <w:rFonts w:ascii="Times New Roman" w:hAnsi="Times New Roman"/>
          <w:caps w:val="0"/>
          <w:sz w:val="24"/>
          <w:szCs w:val="24"/>
        </w:rPr>
        <w:t xml:space="preserve">средњих школа </w:t>
      </w:r>
      <w:r w:rsidRPr="00C330E4">
        <w:rPr>
          <w:rFonts w:ascii="Times New Roman" w:hAnsi="Times New Roman"/>
          <w:b/>
          <w:caps w:val="0"/>
          <w:sz w:val="24"/>
          <w:szCs w:val="24"/>
        </w:rPr>
        <w:t xml:space="preserve">први пут </w:t>
      </w:r>
      <w:r w:rsidRPr="00C330E4">
        <w:rPr>
          <w:rFonts w:ascii="Times New Roman" w:hAnsi="Times New Roman"/>
          <w:caps w:val="0"/>
          <w:sz w:val="24"/>
          <w:szCs w:val="24"/>
        </w:rPr>
        <w:t>су</w:t>
      </w:r>
      <w:r w:rsidRPr="00C330E4">
        <w:rPr>
          <w:rFonts w:ascii="Times New Roman" w:hAnsi="Times New Roman"/>
          <w:b/>
          <w:caps w:val="0"/>
          <w:sz w:val="24"/>
          <w:szCs w:val="24"/>
        </w:rPr>
        <w:t xml:space="preserve"> планирани</w:t>
      </w:r>
      <w:r w:rsidRPr="00C330E4">
        <w:rPr>
          <w:rFonts w:ascii="Times New Roman" w:hAnsi="Times New Roman"/>
          <w:caps w:val="0"/>
          <w:sz w:val="24"/>
          <w:szCs w:val="24"/>
        </w:rPr>
        <w:t xml:space="preserve"> следећи образовни профили:        </w:t>
      </w:r>
    </w:p>
    <w:p w:rsidR="00A968D5" w:rsidRPr="00C330E4" w:rsidRDefault="00DC6F31" w:rsidP="00A968D5">
      <w:pPr>
        <w:pStyle w:val="StyleSkolaFirstline075cm"/>
        <w:numPr>
          <w:ilvl w:val="2"/>
          <w:numId w:val="8"/>
        </w:numPr>
        <w:rPr>
          <w:rStyle w:val="StyleSkolaCharBlue"/>
          <w:rFonts w:ascii="Times New Roman" w:hAnsi="Times New Roman"/>
          <w:sz w:val="24"/>
          <w:szCs w:val="24"/>
        </w:rPr>
      </w:pPr>
      <w:r w:rsidRPr="003D60A2">
        <w:rPr>
          <w:rStyle w:val="StyleSkolaCharBlue"/>
          <w:rFonts w:ascii="Times New Roman" w:hAnsi="Times New Roman"/>
          <w:i/>
          <w:sz w:val="24"/>
          <w:szCs w:val="24"/>
          <w:lang w:val="sr-Cyrl-RS"/>
        </w:rPr>
        <w:lastRenderedPageBreak/>
        <w:t>Техничар друмског саобраћаја</w:t>
      </w:r>
      <w:r>
        <w:rPr>
          <w:rStyle w:val="StyleSkolaCharBlue"/>
          <w:rFonts w:ascii="Times New Roman" w:hAnsi="Times New Roman"/>
          <w:sz w:val="24"/>
          <w:szCs w:val="24"/>
          <w:lang w:val="sr-Cyrl-RS"/>
        </w:rPr>
        <w:t xml:space="preserve"> </w:t>
      </w:r>
      <w:r w:rsidR="00A968D5" w:rsidRPr="00C330E4">
        <w:rPr>
          <w:rStyle w:val="StyleSkolaCharBlue"/>
          <w:rFonts w:ascii="Times New Roman" w:hAnsi="Times New Roman"/>
          <w:sz w:val="24"/>
          <w:szCs w:val="24"/>
        </w:rPr>
        <w:t xml:space="preserve">у </w:t>
      </w:r>
      <w:r>
        <w:rPr>
          <w:rStyle w:val="StyleSkolaCharBlue"/>
          <w:rFonts w:ascii="Times New Roman" w:hAnsi="Times New Roman"/>
          <w:sz w:val="24"/>
          <w:szCs w:val="24"/>
          <w:lang w:val="sr-Cyrl-RS"/>
        </w:rPr>
        <w:t>Средњој школи ''Доситеј Обрадовић'' у Новом Кнежевцу</w:t>
      </w:r>
      <w:r w:rsidR="00A968D5" w:rsidRPr="00C330E4">
        <w:rPr>
          <w:rStyle w:val="StyleSkolaCharBlue"/>
          <w:rFonts w:ascii="Times New Roman" w:hAnsi="Times New Roman"/>
          <w:sz w:val="24"/>
          <w:szCs w:val="24"/>
        </w:rPr>
        <w:t xml:space="preserve">; </w:t>
      </w:r>
    </w:p>
    <w:p w:rsidR="00A968D5" w:rsidRPr="00C330E4" w:rsidRDefault="00DC6F31" w:rsidP="00A968D5">
      <w:pPr>
        <w:pStyle w:val="StyleSkolaFirstline075cm"/>
        <w:numPr>
          <w:ilvl w:val="2"/>
          <w:numId w:val="8"/>
        </w:numPr>
        <w:rPr>
          <w:rStyle w:val="StyleSkolaCharBlue"/>
          <w:rFonts w:ascii="Times New Roman" w:hAnsi="Times New Roman"/>
          <w:sz w:val="24"/>
          <w:szCs w:val="24"/>
        </w:rPr>
      </w:pPr>
      <w:r w:rsidRPr="003D60A2">
        <w:rPr>
          <w:rStyle w:val="StyleSkolaCharBlue"/>
          <w:rFonts w:ascii="Times New Roman" w:hAnsi="Times New Roman"/>
          <w:i/>
          <w:sz w:val="24"/>
          <w:szCs w:val="24"/>
          <w:lang w:val="sr-Cyrl-RS"/>
        </w:rPr>
        <w:t>Руковалац постројења за добијање нафте</w:t>
      </w:r>
      <w:r>
        <w:rPr>
          <w:rStyle w:val="StyleSkolaCharBlue"/>
          <w:rFonts w:ascii="Times New Roman" w:hAnsi="Times New Roman"/>
          <w:sz w:val="24"/>
          <w:szCs w:val="24"/>
          <w:lang w:val="sr-Cyrl-RS"/>
        </w:rPr>
        <w:t xml:space="preserve"> </w:t>
      </w:r>
      <w:r w:rsidR="00A968D5" w:rsidRPr="00C330E4">
        <w:rPr>
          <w:rStyle w:val="StyleSkolaCharBlue"/>
          <w:rFonts w:ascii="Times New Roman" w:hAnsi="Times New Roman"/>
          <w:sz w:val="24"/>
          <w:szCs w:val="24"/>
        </w:rPr>
        <w:t xml:space="preserve">у Техничкој школи </w:t>
      </w:r>
      <w:r>
        <w:rPr>
          <w:rStyle w:val="StyleSkolaCharBlue"/>
          <w:rFonts w:ascii="Times New Roman" w:hAnsi="Times New Roman"/>
          <w:sz w:val="24"/>
          <w:szCs w:val="24"/>
          <w:lang w:val="sr-Cyrl-RS"/>
        </w:rPr>
        <w:t>у Зрењанину</w:t>
      </w:r>
      <w:r w:rsidR="00A968D5" w:rsidRPr="00C330E4">
        <w:rPr>
          <w:rStyle w:val="StyleSkolaCharBlue"/>
          <w:rFonts w:ascii="Times New Roman" w:hAnsi="Times New Roman"/>
          <w:sz w:val="24"/>
          <w:szCs w:val="24"/>
        </w:rPr>
        <w:t xml:space="preserve">; </w:t>
      </w:r>
    </w:p>
    <w:p w:rsidR="00A968D5" w:rsidRPr="00C330E4" w:rsidRDefault="00DC6F31" w:rsidP="00A968D5">
      <w:pPr>
        <w:pStyle w:val="StyleSkolaFirstline075cm"/>
        <w:numPr>
          <w:ilvl w:val="2"/>
          <w:numId w:val="8"/>
        </w:numPr>
        <w:rPr>
          <w:rStyle w:val="StyleSkolaCharBlue"/>
          <w:rFonts w:ascii="Times New Roman" w:hAnsi="Times New Roman"/>
          <w:sz w:val="24"/>
          <w:szCs w:val="24"/>
        </w:rPr>
      </w:pPr>
      <w:r w:rsidRPr="003D60A2">
        <w:rPr>
          <w:rStyle w:val="StyleSkolaCharBlue"/>
          <w:rFonts w:ascii="Times New Roman" w:hAnsi="Times New Roman"/>
          <w:i/>
          <w:sz w:val="24"/>
          <w:szCs w:val="24"/>
          <w:lang w:val="sr-Cyrl-RS"/>
        </w:rPr>
        <w:t>Медицинска сестра - васпитач</w:t>
      </w:r>
      <w:r w:rsidR="00A968D5" w:rsidRPr="00C330E4">
        <w:rPr>
          <w:rStyle w:val="StyleSkolaCharBlue"/>
          <w:rFonts w:ascii="Times New Roman" w:hAnsi="Times New Roman"/>
          <w:sz w:val="24"/>
          <w:szCs w:val="24"/>
        </w:rPr>
        <w:t xml:space="preserve"> у </w:t>
      </w:r>
      <w:r>
        <w:rPr>
          <w:rStyle w:val="StyleSkolaCharBlue"/>
          <w:rFonts w:ascii="Times New Roman" w:hAnsi="Times New Roman"/>
          <w:sz w:val="24"/>
          <w:szCs w:val="24"/>
          <w:lang w:val="sr-Cyrl-RS"/>
        </w:rPr>
        <w:t>Медицинској школи ''Стевица Јовановић'' у Панчеву</w:t>
      </w:r>
      <w:r w:rsidR="00A968D5" w:rsidRPr="00C330E4">
        <w:rPr>
          <w:rStyle w:val="StyleSkolaCharBlue"/>
          <w:rFonts w:ascii="Times New Roman" w:hAnsi="Times New Roman"/>
          <w:sz w:val="24"/>
          <w:szCs w:val="24"/>
        </w:rPr>
        <w:t xml:space="preserve">; </w:t>
      </w:r>
    </w:p>
    <w:p w:rsidR="00A968D5" w:rsidRPr="00C330E4" w:rsidRDefault="00645A72" w:rsidP="00A968D5">
      <w:pPr>
        <w:pStyle w:val="StyleSkolaFirstline075cm"/>
        <w:numPr>
          <w:ilvl w:val="2"/>
          <w:numId w:val="8"/>
        </w:numPr>
        <w:rPr>
          <w:rStyle w:val="StyleSkolaCharBlue"/>
          <w:rFonts w:ascii="Times New Roman" w:hAnsi="Times New Roman"/>
          <w:sz w:val="24"/>
          <w:szCs w:val="24"/>
        </w:rPr>
      </w:pPr>
      <w:r>
        <w:rPr>
          <w:rStyle w:val="StyleSkolaCharBlue"/>
          <w:rFonts w:ascii="Times New Roman" w:hAnsi="Times New Roman"/>
          <w:i/>
          <w:sz w:val="24"/>
          <w:szCs w:val="24"/>
          <w:lang w:val="sr-Cyrl-RS"/>
        </w:rPr>
        <w:t>Бравар-з</w:t>
      </w:r>
      <w:r w:rsidR="00DC6F31" w:rsidRPr="003D60A2">
        <w:rPr>
          <w:rStyle w:val="StyleSkolaCharBlue"/>
          <w:rFonts w:ascii="Times New Roman" w:hAnsi="Times New Roman"/>
          <w:i/>
          <w:sz w:val="24"/>
          <w:szCs w:val="24"/>
          <w:lang w:val="sr-Cyrl-RS"/>
        </w:rPr>
        <w:t>аваривач</w:t>
      </w:r>
      <w:r w:rsidR="00A968D5" w:rsidRPr="00C330E4">
        <w:rPr>
          <w:rStyle w:val="StyleSkolaCharBlue"/>
          <w:rFonts w:ascii="Times New Roman" w:hAnsi="Times New Roman"/>
          <w:sz w:val="24"/>
          <w:szCs w:val="24"/>
        </w:rPr>
        <w:t xml:space="preserve"> у </w:t>
      </w:r>
      <w:r w:rsidR="00DC6F31">
        <w:rPr>
          <w:rStyle w:val="StyleSkolaCharBlue"/>
          <w:rFonts w:ascii="Times New Roman" w:hAnsi="Times New Roman"/>
          <w:sz w:val="24"/>
          <w:szCs w:val="24"/>
          <w:lang w:val="sr-Cyrl-RS"/>
        </w:rPr>
        <w:t>Техничкој школи ''Иван Сарић'' у Суботици</w:t>
      </w:r>
      <w:r w:rsidR="00A968D5" w:rsidRPr="00C330E4">
        <w:rPr>
          <w:rStyle w:val="StyleSkolaCharBlue"/>
          <w:rFonts w:ascii="Times New Roman" w:hAnsi="Times New Roman"/>
          <w:sz w:val="24"/>
          <w:szCs w:val="24"/>
        </w:rPr>
        <w:t>;</w:t>
      </w:r>
    </w:p>
    <w:p w:rsidR="00A968D5" w:rsidRPr="00C330E4" w:rsidRDefault="003D60A2" w:rsidP="00A968D5">
      <w:pPr>
        <w:pStyle w:val="StyleSkolaFirstline075cm"/>
        <w:numPr>
          <w:ilvl w:val="2"/>
          <w:numId w:val="8"/>
        </w:numPr>
        <w:rPr>
          <w:rStyle w:val="StyleSkolaCharBlue"/>
          <w:rFonts w:ascii="Times New Roman" w:hAnsi="Times New Roman"/>
          <w:sz w:val="24"/>
          <w:szCs w:val="24"/>
        </w:rPr>
      </w:pPr>
      <w:r>
        <w:rPr>
          <w:rStyle w:val="StyleSkolaCharBlue"/>
          <w:rFonts w:ascii="Times New Roman" w:hAnsi="Times New Roman"/>
          <w:i/>
          <w:sz w:val="24"/>
          <w:szCs w:val="24"/>
          <w:lang w:val="sr-Cyrl-RS"/>
        </w:rPr>
        <w:t>Обдарени</w:t>
      </w:r>
      <w:r w:rsidR="00DC6F31" w:rsidRPr="003D60A2">
        <w:rPr>
          <w:rStyle w:val="StyleSkolaCharBlue"/>
          <w:rFonts w:ascii="Times New Roman" w:hAnsi="Times New Roman"/>
          <w:i/>
          <w:sz w:val="24"/>
          <w:szCs w:val="24"/>
          <w:lang w:val="sr-Cyrl-RS"/>
        </w:rPr>
        <w:t xml:space="preserve"> учен</w:t>
      </w:r>
      <w:r>
        <w:rPr>
          <w:rStyle w:val="StyleSkolaCharBlue"/>
          <w:rFonts w:ascii="Times New Roman" w:hAnsi="Times New Roman"/>
          <w:i/>
          <w:sz w:val="24"/>
          <w:szCs w:val="24"/>
          <w:lang w:val="sr-Cyrl-RS"/>
        </w:rPr>
        <w:t>ици</w:t>
      </w:r>
      <w:r w:rsidR="00DC6F31" w:rsidRPr="003D60A2">
        <w:rPr>
          <w:rStyle w:val="StyleSkolaCharBlue"/>
          <w:rFonts w:ascii="Times New Roman" w:hAnsi="Times New Roman"/>
          <w:i/>
          <w:sz w:val="24"/>
          <w:szCs w:val="24"/>
          <w:lang w:val="sr-Cyrl-RS"/>
        </w:rPr>
        <w:t xml:space="preserve"> у рачунарској гимназији</w:t>
      </w:r>
      <w:r w:rsidR="00A968D5" w:rsidRPr="00C330E4">
        <w:rPr>
          <w:rStyle w:val="StyleSkolaCharBlue"/>
          <w:rFonts w:ascii="Times New Roman" w:hAnsi="Times New Roman"/>
          <w:sz w:val="24"/>
          <w:szCs w:val="24"/>
        </w:rPr>
        <w:t xml:space="preserve"> у </w:t>
      </w:r>
      <w:r w:rsidR="00DC6F31">
        <w:rPr>
          <w:rStyle w:val="StyleSkolaCharBlue"/>
          <w:rFonts w:ascii="Times New Roman" w:hAnsi="Times New Roman"/>
          <w:sz w:val="24"/>
          <w:szCs w:val="24"/>
          <w:lang w:val="sr-Cyrl-RS"/>
        </w:rPr>
        <w:t>Гимназији ''Јован Јовановић Змај'' у Новом Саду</w:t>
      </w:r>
      <w:r w:rsidR="00A968D5" w:rsidRPr="00C330E4">
        <w:rPr>
          <w:rStyle w:val="StyleSkolaCharBlue"/>
          <w:rFonts w:ascii="Times New Roman" w:hAnsi="Times New Roman"/>
          <w:sz w:val="24"/>
          <w:szCs w:val="24"/>
        </w:rPr>
        <w:t xml:space="preserve">; </w:t>
      </w:r>
    </w:p>
    <w:p w:rsidR="00F8053B" w:rsidRPr="00C246E2" w:rsidRDefault="00F8053B" w:rsidP="00A968D5">
      <w:pPr>
        <w:pStyle w:val="StyleSkolaFirstline075cm"/>
        <w:numPr>
          <w:ilvl w:val="2"/>
          <w:numId w:val="8"/>
        </w:numPr>
        <w:rPr>
          <w:rStyle w:val="StyleSkolaCharBlue"/>
          <w:rFonts w:ascii="Times New Roman" w:hAnsi="Times New Roman"/>
          <w:sz w:val="24"/>
          <w:szCs w:val="24"/>
        </w:rPr>
      </w:pPr>
      <w:r>
        <w:rPr>
          <w:rStyle w:val="StyleSkolaCharBlue"/>
          <w:rFonts w:ascii="Times New Roman" w:hAnsi="Times New Roman"/>
          <w:i/>
          <w:sz w:val="24"/>
          <w:szCs w:val="24"/>
          <w:lang w:val="sr-Cyrl-RS"/>
        </w:rPr>
        <w:t>Електричар</w:t>
      </w:r>
      <w:r>
        <w:rPr>
          <w:rStyle w:val="StyleSkolaCharBlue"/>
          <w:rFonts w:ascii="Times New Roman" w:hAnsi="Times New Roman"/>
          <w:sz w:val="24"/>
          <w:szCs w:val="24"/>
          <w:lang w:val="sr-Cyrl-RS"/>
        </w:rPr>
        <w:t xml:space="preserve"> у Електротехничкој школи ''Михајло Пупин'' у Новом Саду</w:t>
      </w:r>
      <w:r w:rsidRPr="00C330E4">
        <w:rPr>
          <w:rStyle w:val="StyleSkolaCharBlue"/>
          <w:rFonts w:ascii="Times New Roman" w:hAnsi="Times New Roman"/>
          <w:sz w:val="24"/>
          <w:szCs w:val="24"/>
        </w:rPr>
        <w:t>;</w:t>
      </w:r>
    </w:p>
    <w:p w:rsidR="00C246E2" w:rsidRPr="00C330E4" w:rsidRDefault="00C246E2" w:rsidP="00A968D5">
      <w:pPr>
        <w:pStyle w:val="StyleSkolaFirstline075cm"/>
        <w:numPr>
          <w:ilvl w:val="2"/>
          <w:numId w:val="8"/>
        </w:numPr>
        <w:rPr>
          <w:rStyle w:val="StyleSkolaCharBlue"/>
          <w:rFonts w:ascii="Times New Roman" w:hAnsi="Times New Roman"/>
          <w:sz w:val="24"/>
          <w:szCs w:val="24"/>
        </w:rPr>
      </w:pPr>
      <w:r>
        <w:rPr>
          <w:rStyle w:val="StyleSkolaCharBlue"/>
          <w:rFonts w:ascii="Times New Roman" w:hAnsi="Times New Roman"/>
          <w:i/>
          <w:sz w:val="24"/>
          <w:szCs w:val="24"/>
          <w:lang w:val="sr-Cyrl-RS"/>
        </w:rPr>
        <w:t xml:space="preserve">Индустријски механичар </w:t>
      </w:r>
      <w:r>
        <w:rPr>
          <w:rStyle w:val="StyleSkolaCharBlue"/>
          <w:rFonts w:ascii="Times New Roman" w:hAnsi="Times New Roman"/>
          <w:sz w:val="24"/>
          <w:szCs w:val="24"/>
          <w:lang w:val="sr-Cyrl-RS"/>
        </w:rPr>
        <w:t>у Техничкој школи ''Миленко Веркић Неша'' у Пећинцима;</w:t>
      </w:r>
    </w:p>
    <w:p w:rsidR="00A968D5" w:rsidRPr="00C330E4" w:rsidRDefault="003D60A2" w:rsidP="00A968D5">
      <w:pPr>
        <w:pStyle w:val="StyleSkolaFirstline075cm"/>
        <w:numPr>
          <w:ilvl w:val="2"/>
          <w:numId w:val="8"/>
        </w:numPr>
        <w:rPr>
          <w:rStyle w:val="StyleSkolaCharBlue"/>
          <w:rFonts w:ascii="Times New Roman" w:hAnsi="Times New Roman"/>
          <w:sz w:val="24"/>
          <w:szCs w:val="24"/>
        </w:rPr>
      </w:pPr>
      <w:r>
        <w:rPr>
          <w:rStyle w:val="StyleSkolaCharBlue"/>
          <w:rFonts w:ascii="Times New Roman" w:hAnsi="Times New Roman"/>
          <w:i/>
          <w:sz w:val="24"/>
          <w:szCs w:val="24"/>
          <w:lang w:val="sr-Cyrl-RS"/>
        </w:rPr>
        <w:t>О</w:t>
      </w:r>
      <w:r w:rsidRPr="003D60A2">
        <w:rPr>
          <w:rStyle w:val="StyleSkolaCharBlue"/>
          <w:rFonts w:ascii="Times New Roman" w:hAnsi="Times New Roman"/>
          <w:i/>
          <w:sz w:val="24"/>
          <w:szCs w:val="24"/>
          <w:lang w:val="sr-Cyrl-RS"/>
        </w:rPr>
        <w:t>бдарени учени</w:t>
      </w:r>
      <w:r>
        <w:rPr>
          <w:rStyle w:val="StyleSkolaCharBlue"/>
          <w:rFonts w:ascii="Times New Roman" w:hAnsi="Times New Roman"/>
          <w:i/>
          <w:sz w:val="24"/>
          <w:szCs w:val="24"/>
          <w:lang w:val="sr-Cyrl-RS"/>
        </w:rPr>
        <w:t>ци</w:t>
      </w:r>
      <w:r w:rsidRPr="003D60A2">
        <w:rPr>
          <w:rStyle w:val="StyleSkolaCharBlue"/>
          <w:rFonts w:ascii="Times New Roman" w:hAnsi="Times New Roman"/>
          <w:i/>
          <w:sz w:val="24"/>
          <w:szCs w:val="24"/>
          <w:lang w:val="sr-Cyrl-RS"/>
        </w:rPr>
        <w:t xml:space="preserve"> у рачунарској гимназији</w:t>
      </w:r>
      <w:r>
        <w:rPr>
          <w:rStyle w:val="StyleSkolaCharBlue"/>
          <w:rFonts w:ascii="Times New Roman" w:hAnsi="Times New Roman"/>
          <w:sz w:val="24"/>
          <w:szCs w:val="24"/>
          <w:lang w:val="sr-Cyrl-RS"/>
        </w:rPr>
        <w:t xml:space="preserve"> </w:t>
      </w:r>
      <w:r w:rsidR="00A968D5" w:rsidRPr="00C330E4">
        <w:rPr>
          <w:rStyle w:val="StyleSkolaCharBlue"/>
          <w:rFonts w:ascii="Times New Roman" w:hAnsi="Times New Roman"/>
          <w:sz w:val="24"/>
          <w:szCs w:val="24"/>
        </w:rPr>
        <w:t>у Митровачкој гимназији у Сремској Митровици.</w:t>
      </w:r>
    </w:p>
    <w:p w:rsidR="00A968D5" w:rsidRPr="00C330E4" w:rsidRDefault="00A968D5" w:rsidP="00A968D5">
      <w:pPr>
        <w:pStyle w:val="Skola"/>
        <w:tabs>
          <w:tab w:val="clear" w:pos="720"/>
        </w:tabs>
        <w:ind w:left="1800"/>
        <w:rPr>
          <w:rFonts w:ascii="Verdana" w:hAnsi="Verdana"/>
          <w:sz w:val="24"/>
          <w:szCs w:val="24"/>
          <w:lang w:val="ru-RU"/>
        </w:rPr>
      </w:pPr>
    </w:p>
    <w:p w:rsidR="00A968D5" w:rsidRPr="00933BBE" w:rsidRDefault="00A968D5" w:rsidP="00A968D5">
      <w:pPr>
        <w:pStyle w:val="BodyTextIndent"/>
        <w:rPr>
          <w:lang w:val="ru-RU"/>
        </w:rPr>
      </w:pPr>
      <w:r w:rsidRPr="00645A72">
        <w:rPr>
          <w:lang w:val="ru-RU"/>
        </w:rPr>
        <w:t xml:space="preserve">За упис </w:t>
      </w:r>
      <w:r w:rsidRPr="00645A72">
        <w:rPr>
          <w:b/>
          <w:bCs/>
          <w:lang w:val="ru-RU"/>
        </w:rPr>
        <w:t>17.</w:t>
      </w:r>
      <w:r w:rsidR="00D77D35" w:rsidRPr="00645A72">
        <w:rPr>
          <w:b/>
          <w:bCs/>
          <w:lang w:val="en-US"/>
        </w:rPr>
        <w:t>168</w:t>
      </w:r>
      <w:r w:rsidRPr="00645A72">
        <w:rPr>
          <w:b/>
          <w:bCs/>
          <w:lang w:val="ru-RU"/>
        </w:rPr>
        <w:t xml:space="preserve"> ученика </w:t>
      </w:r>
      <w:r w:rsidR="00645A72" w:rsidRPr="00933BBE">
        <w:rPr>
          <w:lang w:val="ru-RU"/>
        </w:rPr>
        <w:t>у први разред средњих школа на територији АП Војводине у школској 201</w:t>
      </w:r>
      <w:r w:rsidR="00645A72">
        <w:rPr>
          <w:lang w:val="en-US"/>
        </w:rPr>
        <w:t>4</w:t>
      </w:r>
      <w:r w:rsidR="00645A72" w:rsidRPr="00933BBE">
        <w:rPr>
          <w:lang w:val="ru-RU"/>
        </w:rPr>
        <w:t>/201</w:t>
      </w:r>
      <w:r w:rsidR="00645A72">
        <w:rPr>
          <w:lang w:val="en-US"/>
        </w:rPr>
        <w:t>5</w:t>
      </w:r>
      <w:r w:rsidR="00645A72" w:rsidRPr="00933BBE">
        <w:rPr>
          <w:lang w:val="ru-RU"/>
        </w:rPr>
        <w:t>. години</w:t>
      </w:r>
      <w:r w:rsidR="00645A72">
        <w:rPr>
          <w:lang w:val="ru-RU"/>
        </w:rPr>
        <w:t xml:space="preserve">, </w:t>
      </w:r>
      <w:r w:rsidRPr="00645A72">
        <w:rPr>
          <w:lang w:val="ru-RU"/>
        </w:rPr>
        <w:t>који су у школској 201</w:t>
      </w:r>
      <w:r w:rsidR="00D77D35" w:rsidRPr="00645A72">
        <w:rPr>
          <w:lang w:val="en-US"/>
        </w:rPr>
        <w:t>3</w:t>
      </w:r>
      <w:r w:rsidRPr="00645A72">
        <w:rPr>
          <w:lang w:val="ru-RU"/>
        </w:rPr>
        <w:t>/201</w:t>
      </w:r>
      <w:r w:rsidR="00D77D35" w:rsidRPr="00645A72">
        <w:rPr>
          <w:lang w:val="en-US"/>
        </w:rPr>
        <w:t>4</w:t>
      </w:r>
      <w:r w:rsidRPr="00645A72">
        <w:rPr>
          <w:lang w:val="ru-RU"/>
        </w:rPr>
        <w:t xml:space="preserve">. години завршили </w:t>
      </w:r>
      <w:r w:rsidRPr="00645A72">
        <w:rPr>
          <w:b/>
          <w:bCs/>
          <w:lang w:val="ru-RU"/>
        </w:rPr>
        <w:t xml:space="preserve">осми </w:t>
      </w:r>
      <w:r w:rsidRPr="00933BBE">
        <w:rPr>
          <w:b/>
          <w:bCs/>
          <w:lang w:val="ru-RU"/>
        </w:rPr>
        <w:t>разред</w:t>
      </w:r>
      <w:r w:rsidRPr="00933BBE">
        <w:rPr>
          <w:lang w:val="ru-RU"/>
        </w:rPr>
        <w:t>, планиран</w:t>
      </w:r>
      <w:r w:rsidR="00074B39">
        <w:rPr>
          <w:lang w:val="en-US"/>
        </w:rPr>
        <w:t>o je</w:t>
      </w:r>
      <w:r w:rsidRPr="00933BBE">
        <w:rPr>
          <w:b/>
          <w:bCs/>
          <w:lang w:val="ru-RU"/>
        </w:rPr>
        <w:t xml:space="preserve"> 2</w:t>
      </w:r>
      <w:r w:rsidR="00074B39">
        <w:rPr>
          <w:b/>
          <w:bCs/>
          <w:lang w:val="en-US"/>
        </w:rPr>
        <w:t>0</w:t>
      </w:r>
      <w:r>
        <w:rPr>
          <w:b/>
          <w:bCs/>
          <w:lang w:val="ru-RU"/>
        </w:rPr>
        <w:t>.</w:t>
      </w:r>
      <w:r w:rsidR="00074B39">
        <w:rPr>
          <w:b/>
          <w:bCs/>
          <w:lang w:val="en-US"/>
        </w:rPr>
        <w:t>389</w:t>
      </w:r>
      <w:r w:rsidRPr="00933BBE">
        <w:rPr>
          <w:b/>
          <w:bCs/>
          <w:lang w:val="ru-RU"/>
        </w:rPr>
        <w:t xml:space="preserve"> мест</w:t>
      </w:r>
      <w:r>
        <w:rPr>
          <w:b/>
          <w:bCs/>
          <w:lang w:val="ru-RU"/>
        </w:rPr>
        <w:t>а</w:t>
      </w:r>
      <w:r w:rsidRPr="00933BBE">
        <w:rPr>
          <w:lang w:val="ru-RU"/>
        </w:rPr>
        <w:t xml:space="preserve">, односно </w:t>
      </w:r>
      <w:r>
        <w:rPr>
          <w:b/>
          <w:lang w:val="ru-RU"/>
        </w:rPr>
        <w:t>1</w:t>
      </w:r>
      <w:r w:rsidR="00074B39">
        <w:rPr>
          <w:b/>
          <w:lang w:val="en-US"/>
        </w:rPr>
        <w:t>8</w:t>
      </w:r>
      <w:r>
        <w:rPr>
          <w:b/>
          <w:lang w:val="ru-RU"/>
        </w:rPr>
        <w:t>,</w:t>
      </w:r>
      <w:r w:rsidR="00074B39">
        <w:rPr>
          <w:b/>
          <w:lang w:val="en-US"/>
        </w:rPr>
        <w:t>76</w:t>
      </w:r>
      <w:r w:rsidRPr="00933BBE">
        <w:rPr>
          <w:b/>
          <w:lang w:val="ru-RU"/>
        </w:rPr>
        <w:t>% више места за упис</w:t>
      </w:r>
      <w:r w:rsidRPr="00933BBE">
        <w:rPr>
          <w:lang w:val="ru-RU"/>
        </w:rPr>
        <w:t xml:space="preserve"> од броја ученика осмог разреда. </w:t>
      </w:r>
    </w:p>
    <w:p w:rsidR="00A968D5" w:rsidRPr="00B22E84" w:rsidRDefault="00A968D5" w:rsidP="00A968D5">
      <w:pPr>
        <w:ind w:firstLine="720"/>
        <w:jc w:val="both"/>
        <w:rPr>
          <w:lang w:val="ru-RU"/>
        </w:rPr>
      </w:pPr>
    </w:p>
    <w:p w:rsidR="00A968D5" w:rsidRDefault="00A968D5" w:rsidP="00A968D5">
      <w:pPr>
        <w:jc w:val="both"/>
        <w:rPr>
          <w:b/>
          <w:bCs/>
          <w:lang w:val="sr-Cyrl-CS"/>
        </w:rPr>
      </w:pPr>
      <w:r w:rsidRPr="00927457">
        <w:rPr>
          <w:lang w:val="sr-Cyrl-CS"/>
        </w:rPr>
        <w:tab/>
        <w:t xml:space="preserve">У </w:t>
      </w:r>
      <w:r w:rsidRPr="00927457">
        <w:rPr>
          <w:b/>
          <w:lang w:val="sr-Cyrl-CS"/>
        </w:rPr>
        <w:t>121 редовној средњој школи у АП Војводини,</w:t>
      </w:r>
      <w:r w:rsidRPr="00927457">
        <w:rPr>
          <w:lang w:val="sr-Cyrl-CS"/>
        </w:rPr>
        <w:t xml:space="preserve"> у први разред средњих школа у школској 201</w:t>
      </w:r>
      <w:r w:rsidR="00074B39">
        <w:t>4</w:t>
      </w:r>
      <w:r w:rsidRPr="00927457">
        <w:rPr>
          <w:lang w:val="sr-Cyrl-CS"/>
        </w:rPr>
        <w:t>/201</w:t>
      </w:r>
      <w:r w:rsidR="00074B39">
        <w:t>5</w:t>
      </w:r>
      <w:r w:rsidRPr="00927457">
        <w:rPr>
          <w:lang w:val="sr-Cyrl-CS"/>
        </w:rPr>
        <w:t xml:space="preserve">. години </w:t>
      </w:r>
      <w:r w:rsidRPr="00927457">
        <w:rPr>
          <w:b/>
          <w:bCs/>
          <w:lang w:val="sr-Cyrl-CS"/>
        </w:rPr>
        <w:t xml:space="preserve">уписано </w:t>
      </w:r>
      <w:r w:rsidRPr="00927457">
        <w:rPr>
          <w:lang w:val="sr-Cyrl-CS"/>
        </w:rPr>
        <w:t>је</w:t>
      </w:r>
      <w:r w:rsidRPr="00927457">
        <w:rPr>
          <w:b/>
          <w:bCs/>
          <w:lang w:val="sr-Cyrl-CS"/>
        </w:rPr>
        <w:t xml:space="preserve"> укупно 1</w:t>
      </w:r>
      <w:r w:rsidR="00074B39">
        <w:rPr>
          <w:b/>
          <w:bCs/>
        </w:rPr>
        <w:t>6</w:t>
      </w:r>
      <w:r w:rsidRPr="00927457">
        <w:rPr>
          <w:b/>
          <w:bCs/>
          <w:lang w:val="sr-Cyrl-CS"/>
        </w:rPr>
        <w:t>.</w:t>
      </w:r>
      <w:r w:rsidR="00074B39">
        <w:rPr>
          <w:b/>
          <w:bCs/>
        </w:rPr>
        <w:t>733</w:t>
      </w:r>
      <w:r w:rsidRPr="00927457">
        <w:rPr>
          <w:b/>
          <w:bCs/>
          <w:lang w:val="sr-Cyrl-CS"/>
        </w:rPr>
        <w:t xml:space="preserve"> ученика, </w:t>
      </w:r>
      <w:r w:rsidRPr="00927457">
        <w:rPr>
          <w:bCs/>
          <w:lang w:val="sr-Cyrl-CS"/>
        </w:rPr>
        <w:t>што је</w:t>
      </w:r>
      <w:r w:rsidR="00074B39">
        <w:rPr>
          <w:b/>
          <w:bCs/>
          <w:lang w:val="sr-Cyrl-CS"/>
        </w:rPr>
        <w:t xml:space="preserve"> </w:t>
      </w:r>
      <w:r w:rsidR="00074B39">
        <w:rPr>
          <w:b/>
          <w:bCs/>
        </w:rPr>
        <w:t>872</w:t>
      </w:r>
      <w:r w:rsidRPr="00927457">
        <w:rPr>
          <w:b/>
          <w:bCs/>
          <w:lang w:val="sr-Cyrl-CS"/>
        </w:rPr>
        <w:t xml:space="preserve"> ученика мање</w:t>
      </w:r>
      <w:r w:rsidRPr="00927457">
        <w:rPr>
          <w:lang w:val="sr-Cyrl-CS"/>
        </w:rPr>
        <w:t xml:space="preserve"> него у претходној школској години или </w:t>
      </w:r>
      <w:r w:rsidR="00074B39">
        <w:rPr>
          <w:b/>
        </w:rPr>
        <w:t>4,95</w:t>
      </w:r>
      <w:r w:rsidRPr="00927457">
        <w:rPr>
          <w:b/>
          <w:lang w:val="ru-RU"/>
        </w:rPr>
        <w:t xml:space="preserve">% </w:t>
      </w:r>
      <w:r w:rsidRPr="00927457">
        <w:rPr>
          <w:b/>
          <w:lang w:val="sr-Cyrl-CS"/>
        </w:rPr>
        <w:t>мање</w:t>
      </w:r>
      <w:r w:rsidRPr="00927457">
        <w:rPr>
          <w:lang w:val="sr-Cyrl-CS"/>
        </w:rPr>
        <w:t xml:space="preserve">. </w:t>
      </w:r>
      <w:r w:rsidRPr="00927457">
        <w:rPr>
          <w:b/>
          <w:bCs/>
          <w:lang w:val="sr-Cyrl-CS"/>
        </w:rPr>
        <w:t>Планирани упис остварен је са 8</w:t>
      </w:r>
      <w:r w:rsidR="00074B39">
        <w:rPr>
          <w:b/>
          <w:bCs/>
        </w:rPr>
        <w:t>2</w:t>
      </w:r>
      <w:r w:rsidRPr="00927457">
        <w:rPr>
          <w:b/>
          <w:bCs/>
          <w:lang w:val="sr-Cyrl-CS"/>
        </w:rPr>
        <w:t>,</w:t>
      </w:r>
      <w:r w:rsidR="00074B39">
        <w:rPr>
          <w:b/>
          <w:bCs/>
        </w:rPr>
        <w:t>07</w:t>
      </w:r>
      <w:r w:rsidRPr="00927457">
        <w:rPr>
          <w:b/>
          <w:bCs/>
          <w:lang w:val="sr-Cyrl-CS"/>
        </w:rPr>
        <w:t>% (на планиран</w:t>
      </w:r>
      <w:r>
        <w:rPr>
          <w:b/>
          <w:bCs/>
          <w:lang w:val="sr-Cyrl-CS"/>
        </w:rPr>
        <w:t>а</w:t>
      </w:r>
      <w:r w:rsidR="00074B39">
        <w:rPr>
          <w:b/>
          <w:bCs/>
          <w:lang w:val="sr-Cyrl-CS"/>
        </w:rPr>
        <w:t xml:space="preserve"> 2</w:t>
      </w:r>
      <w:r w:rsidR="00074B39">
        <w:rPr>
          <w:b/>
          <w:bCs/>
        </w:rPr>
        <w:t>0</w:t>
      </w:r>
      <w:r w:rsidRPr="00927457">
        <w:rPr>
          <w:b/>
          <w:bCs/>
          <w:lang w:val="sr-Cyrl-CS"/>
        </w:rPr>
        <w:t>.</w:t>
      </w:r>
      <w:r w:rsidR="00074B39">
        <w:rPr>
          <w:b/>
          <w:bCs/>
        </w:rPr>
        <w:t>389</w:t>
      </w:r>
      <w:r w:rsidRPr="00927457">
        <w:rPr>
          <w:b/>
          <w:bCs/>
          <w:lang w:val="sr-Cyrl-CS"/>
        </w:rPr>
        <w:t xml:space="preserve"> места уписано је 1</w:t>
      </w:r>
      <w:r w:rsidR="00074B39">
        <w:rPr>
          <w:b/>
          <w:bCs/>
        </w:rPr>
        <w:t>6</w:t>
      </w:r>
      <w:r w:rsidRPr="00927457">
        <w:rPr>
          <w:b/>
          <w:bCs/>
          <w:lang w:val="sr-Cyrl-CS"/>
        </w:rPr>
        <w:t>.</w:t>
      </w:r>
      <w:r w:rsidR="00074B39">
        <w:rPr>
          <w:b/>
          <w:bCs/>
        </w:rPr>
        <w:t>733</w:t>
      </w:r>
      <w:r w:rsidRPr="00927457">
        <w:rPr>
          <w:b/>
          <w:bCs/>
          <w:lang w:val="sr-Cyrl-CS"/>
        </w:rPr>
        <w:t xml:space="preserve"> ученика</w:t>
      </w:r>
      <w:r w:rsidR="00EC615C">
        <w:rPr>
          <w:b/>
          <w:bCs/>
          <w:lang w:val="sr-Cyrl-CS"/>
        </w:rPr>
        <w:t>).</w:t>
      </w:r>
    </w:p>
    <w:p w:rsidR="00A968D5" w:rsidRDefault="00A968D5" w:rsidP="00A968D5">
      <w:pPr>
        <w:jc w:val="both"/>
        <w:rPr>
          <w:b/>
          <w:bCs/>
          <w:lang w:val="sr-Cyrl-CS"/>
        </w:rPr>
      </w:pPr>
    </w:p>
    <w:p w:rsidR="00A968D5" w:rsidRPr="00933BBE" w:rsidRDefault="00A968D5" w:rsidP="00A968D5">
      <w:pPr>
        <w:jc w:val="both"/>
        <w:rPr>
          <w:lang w:val="sr-Cyrl-CS"/>
        </w:rPr>
      </w:pPr>
      <w:r>
        <w:rPr>
          <w:b/>
          <w:bCs/>
          <w:lang w:val="sr-Cyrl-CS"/>
        </w:rPr>
        <w:tab/>
      </w:r>
      <w:r w:rsidRPr="00933BBE">
        <w:rPr>
          <w:lang w:val="sr-Cyrl-CS"/>
        </w:rPr>
        <w:t>Структура реализације плана уписа, према дужини трајања образовања је</w:t>
      </w:r>
      <w:r>
        <w:rPr>
          <w:lang w:val="sr-Cyrl-CS"/>
        </w:rPr>
        <w:t>сте</w:t>
      </w:r>
      <w:r w:rsidRPr="00933BBE">
        <w:rPr>
          <w:lang w:val="sr-Cyrl-CS"/>
        </w:rPr>
        <w:t>:</w:t>
      </w:r>
    </w:p>
    <w:p w:rsidR="00A968D5" w:rsidRPr="00933BBE" w:rsidRDefault="00A968D5" w:rsidP="00A968D5">
      <w:pPr>
        <w:jc w:val="both"/>
        <w:rPr>
          <w:lang w:val="sr-Cyrl-CS"/>
        </w:rPr>
      </w:pPr>
    </w:p>
    <w:tbl>
      <w:tblPr>
        <w:tblW w:w="8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2"/>
        <w:gridCol w:w="1203"/>
        <w:gridCol w:w="1202"/>
        <w:gridCol w:w="1199"/>
        <w:gridCol w:w="1204"/>
        <w:gridCol w:w="1203"/>
        <w:gridCol w:w="1443"/>
      </w:tblGrid>
      <w:tr w:rsidR="00A968D5" w:rsidRPr="00933BBE" w:rsidTr="00C61DAF">
        <w:trPr>
          <w:cantSplit/>
        </w:trPr>
        <w:tc>
          <w:tcPr>
            <w:tcW w:w="1402" w:type="dxa"/>
            <w:vMerge w:val="restart"/>
            <w:tcBorders>
              <w:top w:val="triple" w:sz="4" w:space="0" w:color="auto"/>
              <w:left w:val="triple" w:sz="4" w:space="0" w:color="auto"/>
            </w:tcBorders>
            <w:vAlign w:val="center"/>
          </w:tcPr>
          <w:p w:rsidR="00A968D5" w:rsidRPr="00933BBE" w:rsidRDefault="00A968D5" w:rsidP="00C61DAF">
            <w:pPr>
              <w:jc w:val="center"/>
              <w:rPr>
                <w:lang w:val="sr-Cyrl-CS"/>
              </w:rPr>
            </w:pPr>
            <w:r w:rsidRPr="00933BBE">
              <w:rPr>
                <w:lang w:val="sr-Cyrl-CS"/>
              </w:rPr>
              <w:t>Дужина трајања образовања</w:t>
            </w:r>
          </w:p>
        </w:tc>
        <w:tc>
          <w:tcPr>
            <w:tcW w:w="3604" w:type="dxa"/>
            <w:gridSpan w:val="3"/>
            <w:tcBorders>
              <w:top w:val="trip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968D5" w:rsidRPr="00933BBE" w:rsidRDefault="00A968D5" w:rsidP="00C61DAF">
            <w:pPr>
              <w:jc w:val="center"/>
              <w:rPr>
                <w:lang w:val="sr-Cyrl-CS"/>
              </w:rPr>
            </w:pPr>
          </w:p>
          <w:p w:rsidR="00A968D5" w:rsidRPr="00933BBE" w:rsidRDefault="00A968D5" w:rsidP="00C61DAF">
            <w:pPr>
              <w:pStyle w:val="Heading2"/>
            </w:pPr>
            <w:r w:rsidRPr="00933BBE">
              <w:t>ПЛАНИРАНО</w:t>
            </w:r>
          </w:p>
        </w:tc>
        <w:tc>
          <w:tcPr>
            <w:tcW w:w="3850" w:type="dxa"/>
            <w:gridSpan w:val="3"/>
            <w:tcBorders>
              <w:top w:val="triple" w:sz="4" w:space="0" w:color="auto"/>
              <w:left w:val="double" w:sz="4" w:space="0" w:color="auto"/>
              <w:bottom w:val="double" w:sz="4" w:space="0" w:color="auto"/>
              <w:right w:val="triple" w:sz="4" w:space="0" w:color="auto"/>
            </w:tcBorders>
            <w:vAlign w:val="center"/>
          </w:tcPr>
          <w:p w:rsidR="00A968D5" w:rsidRPr="00933BBE" w:rsidRDefault="00A968D5" w:rsidP="00C61DAF">
            <w:pPr>
              <w:jc w:val="center"/>
              <w:rPr>
                <w:lang w:val="sr-Cyrl-CS"/>
              </w:rPr>
            </w:pPr>
          </w:p>
          <w:p w:rsidR="00A968D5" w:rsidRPr="00933BBE" w:rsidRDefault="00A968D5" w:rsidP="00C61DAF">
            <w:pPr>
              <w:pStyle w:val="Heading2"/>
            </w:pPr>
            <w:r w:rsidRPr="00933BBE">
              <w:t>УПИСАНО</w:t>
            </w:r>
          </w:p>
        </w:tc>
      </w:tr>
      <w:tr w:rsidR="00A968D5" w:rsidRPr="00933BBE" w:rsidTr="00C61DAF">
        <w:trPr>
          <w:cantSplit/>
        </w:trPr>
        <w:tc>
          <w:tcPr>
            <w:tcW w:w="1402" w:type="dxa"/>
            <w:vMerge/>
            <w:tcBorders>
              <w:left w:val="triple" w:sz="4" w:space="0" w:color="auto"/>
            </w:tcBorders>
            <w:vAlign w:val="center"/>
          </w:tcPr>
          <w:p w:rsidR="00A968D5" w:rsidRPr="00933BBE" w:rsidRDefault="00A968D5" w:rsidP="00C61DAF">
            <w:pPr>
              <w:jc w:val="center"/>
              <w:rPr>
                <w:lang w:val="sr-Cyrl-CS"/>
              </w:rPr>
            </w:pPr>
          </w:p>
        </w:tc>
        <w:tc>
          <w:tcPr>
            <w:tcW w:w="1203" w:type="dxa"/>
            <w:tcBorders>
              <w:top w:val="double" w:sz="4" w:space="0" w:color="auto"/>
            </w:tcBorders>
            <w:vAlign w:val="center"/>
          </w:tcPr>
          <w:p w:rsidR="00A968D5" w:rsidRPr="00933BBE" w:rsidRDefault="00A968D5" w:rsidP="00C61DAF">
            <w:pPr>
              <w:jc w:val="center"/>
              <w:rPr>
                <w:lang w:val="sr-Cyrl-CS"/>
              </w:rPr>
            </w:pPr>
            <w:r w:rsidRPr="00933BBE">
              <w:rPr>
                <w:lang w:val="sr-Cyrl-CS"/>
              </w:rPr>
              <w:t>Бр. одељ.</w:t>
            </w:r>
          </w:p>
        </w:tc>
        <w:tc>
          <w:tcPr>
            <w:tcW w:w="1202" w:type="dxa"/>
            <w:tcBorders>
              <w:top w:val="double" w:sz="4" w:space="0" w:color="auto"/>
            </w:tcBorders>
            <w:vAlign w:val="center"/>
          </w:tcPr>
          <w:p w:rsidR="00A968D5" w:rsidRPr="00933BBE" w:rsidRDefault="00A968D5" w:rsidP="00C61DAF">
            <w:pPr>
              <w:jc w:val="center"/>
              <w:rPr>
                <w:lang w:val="sr-Cyrl-CS"/>
              </w:rPr>
            </w:pPr>
            <w:r w:rsidRPr="00933BBE">
              <w:rPr>
                <w:lang w:val="sr-Cyrl-CS"/>
              </w:rPr>
              <w:t>Бр. уч.</w:t>
            </w:r>
          </w:p>
        </w:tc>
        <w:tc>
          <w:tcPr>
            <w:tcW w:w="1199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A968D5" w:rsidRPr="00AA1681" w:rsidRDefault="00A968D5" w:rsidP="00C61DAF">
            <w:pPr>
              <w:jc w:val="center"/>
              <w:rPr>
                <w:sz w:val="20"/>
                <w:szCs w:val="20"/>
                <w:lang w:val="sr-Cyrl-CS"/>
              </w:rPr>
            </w:pPr>
            <w:r w:rsidRPr="00AA1681">
              <w:rPr>
                <w:sz w:val="20"/>
                <w:szCs w:val="20"/>
                <w:lang w:val="sr-Cyrl-CS"/>
              </w:rPr>
              <w:t>План изражен у %</w:t>
            </w:r>
          </w:p>
        </w:tc>
        <w:tc>
          <w:tcPr>
            <w:tcW w:w="1204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A968D5" w:rsidRPr="00933BBE" w:rsidRDefault="00A968D5" w:rsidP="00C61DAF">
            <w:pPr>
              <w:jc w:val="center"/>
              <w:rPr>
                <w:lang w:val="sr-Cyrl-CS"/>
              </w:rPr>
            </w:pPr>
            <w:r w:rsidRPr="00933BBE">
              <w:rPr>
                <w:lang w:val="sr-Cyrl-CS"/>
              </w:rPr>
              <w:t>Бр. одељ.</w:t>
            </w:r>
          </w:p>
        </w:tc>
        <w:tc>
          <w:tcPr>
            <w:tcW w:w="1203" w:type="dxa"/>
            <w:tcBorders>
              <w:top w:val="double" w:sz="4" w:space="0" w:color="auto"/>
            </w:tcBorders>
            <w:vAlign w:val="center"/>
          </w:tcPr>
          <w:p w:rsidR="00A968D5" w:rsidRPr="00933BBE" w:rsidRDefault="00A968D5" w:rsidP="00C61DAF">
            <w:pPr>
              <w:jc w:val="center"/>
              <w:rPr>
                <w:lang w:val="sr-Cyrl-CS"/>
              </w:rPr>
            </w:pPr>
            <w:r w:rsidRPr="00933BBE">
              <w:rPr>
                <w:lang w:val="sr-Cyrl-CS"/>
              </w:rPr>
              <w:t>Бр. уч.</w:t>
            </w:r>
          </w:p>
        </w:tc>
        <w:tc>
          <w:tcPr>
            <w:tcW w:w="1443" w:type="dxa"/>
            <w:tcBorders>
              <w:top w:val="double" w:sz="4" w:space="0" w:color="auto"/>
              <w:right w:val="triple" w:sz="4" w:space="0" w:color="auto"/>
            </w:tcBorders>
            <w:vAlign w:val="center"/>
          </w:tcPr>
          <w:p w:rsidR="00A968D5" w:rsidRPr="00933BBE" w:rsidRDefault="00A968D5" w:rsidP="00C61DAF">
            <w:pPr>
              <w:jc w:val="center"/>
              <w:rPr>
                <w:sz w:val="20"/>
                <w:lang w:val="sr-Cyrl-CS"/>
              </w:rPr>
            </w:pPr>
            <w:r w:rsidRPr="00933BBE">
              <w:rPr>
                <w:sz w:val="20"/>
                <w:lang w:val="sr-Cyrl-CS"/>
              </w:rPr>
              <w:t>Реализација плана изражена у %</w:t>
            </w:r>
          </w:p>
        </w:tc>
      </w:tr>
      <w:tr w:rsidR="00A968D5" w:rsidRPr="00AA2BEB" w:rsidTr="00C61DAF">
        <w:tc>
          <w:tcPr>
            <w:tcW w:w="1402" w:type="dxa"/>
            <w:tcBorders>
              <w:left w:val="triple" w:sz="4" w:space="0" w:color="auto"/>
            </w:tcBorders>
            <w:vAlign w:val="center"/>
          </w:tcPr>
          <w:p w:rsidR="00A968D5" w:rsidRPr="00AA2BEB" w:rsidRDefault="00A968D5" w:rsidP="00C61DAF">
            <w:pPr>
              <w:jc w:val="center"/>
              <w:rPr>
                <w:lang w:val="sr-Cyrl-CS"/>
              </w:rPr>
            </w:pPr>
            <w:r w:rsidRPr="00AA2BEB">
              <w:rPr>
                <w:lang w:val="sr-Cyrl-CS"/>
              </w:rPr>
              <w:t>Три</w:t>
            </w:r>
          </w:p>
          <w:p w:rsidR="00A968D5" w:rsidRPr="00AA2BEB" w:rsidRDefault="00A968D5" w:rsidP="00C61DAF">
            <w:pPr>
              <w:jc w:val="center"/>
              <w:rPr>
                <w:lang w:val="sr-Cyrl-CS"/>
              </w:rPr>
            </w:pPr>
            <w:r w:rsidRPr="00AA2BEB">
              <w:rPr>
                <w:lang w:val="sr-Cyrl-CS"/>
              </w:rPr>
              <w:t>године</w:t>
            </w:r>
          </w:p>
        </w:tc>
        <w:tc>
          <w:tcPr>
            <w:tcW w:w="1203" w:type="dxa"/>
            <w:vAlign w:val="center"/>
          </w:tcPr>
          <w:p w:rsidR="00A968D5" w:rsidRPr="00074B39" w:rsidRDefault="00A968D5" w:rsidP="00C61DAF">
            <w:pPr>
              <w:jc w:val="center"/>
            </w:pPr>
            <w:r>
              <w:t>1</w:t>
            </w:r>
            <w:r w:rsidR="00074B39">
              <w:rPr>
                <w:lang w:val="sr-Cyrl-RS"/>
              </w:rPr>
              <w:t>2</w:t>
            </w:r>
            <w:r w:rsidR="00074B39">
              <w:t>4</w:t>
            </w:r>
          </w:p>
        </w:tc>
        <w:tc>
          <w:tcPr>
            <w:tcW w:w="1202" w:type="dxa"/>
            <w:vAlign w:val="center"/>
          </w:tcPr>
          <w:p w:rsidR="00A968D5" w:rsidRPr="00074B39" w:rsidRDefault="00A968D5" w:rsidP="00074B39">
            <w:pPr>
              <w:jc w:val="center"/>
            </w:pPr>
            <w:r>
              <w:rPr>
                <w:lang w:val="sr-Cyrl-CS"/>
              </w:rPr>
              <w:t>3</w:t>
            </w:r>
            <w:r w:rsidRPr="00AA2BEB">
              <w:rPr>
                <w:lang w:val="sr-Cyrl-CS"/>
              </w:rPr>
              <w:t>.</w:t>
            </w:r>
            <w:r w:rsidR="00074B39">
              <w:t>720</w:t>
            </w:r>
          </w:p>
        </w:tc>
        <w:tc>
          <w:tcPr>
            <w:tcW w:w="1199" w:type="dxa"/>
            <w:tcBorders>
              <w:right w:val="double" w:sz="4" w:space="0" w:color="auto"/>
            </w:tcBorders>
            <w:vAlign w:val="center"/>
          </w:tcPr>
          <w:p w:rsidR="00A968D5" w:rsidRPr="00AA2BEB" w:rsidRDefault="00A968D5" w:rsidP="00074B39">
            <w:pPr>
              <w:spacing w:line="360" w:lineRule="auto"/>
              <w:jc w:val="center"/>
              <w:rPr>
                <w:lang w:val="sr-Cyrl-RS"/>
              </w:rPr>
            </w:pPr>
            <w:r>
              <w:rPr>
                <w:lang w:val="sr-Cyrl-CS"/>
              </w:rPr>
              <w:t>1</w:t>
            </w:r>
            <w:r w:rsidR="00074B39">
              <w:t>8</w:t>
            </w:r>
            <w:r w:rsidRPr="00AA2BEB">
              <w:rPr>
                <w:lang w:val="sr-Cyrl-CS"/>
              </w:rPr>
              <w:t>,</w:t>
            </w:r>
            <w:r w:rsidR="00074B39">
              <w:t>24</w:t>
            </w:r>
            <w:r w:rsidRPr="00AA2BEB">
              <w:rPr>
                <w:lang w:val="sr-Cyrl-RS"/>
              </w:rPr>
              <w:t>%</w:t>
            </w:r>
          </w:p>
        </w:tc>
        <w:tc>
          <w:tcPr>
            <w:tcW w:w="1204" w:type="dxa"/>
            <w:tcBorders>
              <w:left w:val="double" w:sz="4" w:space="0" w:color="auto"/>
            </w:tcBorders>
            <w:vAlign w:val="center"/>
          </w:tcPr>
          <w:p w:rsidR="00A968D5" w:rsidRPr="00074B39" w:rsidRDefault="00A968D5" w:rsidP="00074B39">
            <w:pPr>
              <w:jc w:val="center"/>
            </w:pPr>
            <w:r>
              <w:t>1</w:t>
            </w:r>
            <w:r>
              <w:rPr>
                <w:lang w:val="sr-Cyrl-RS"/>
              </w:rPr>
              <w:t>2</w:t>
            </w:r>
            <w:r w:rsidR="00074B39">
              <w:t>3</w:t>
            </w:r>
          </w:p>
        </w:tc>
        <w:tc>
          <w:tcPr>
            <w:tcW w:w="1203" w:type="dxa"/>
            <w:vAlign w:val="center"/>
          </w:tcPr>
          <w:p w:rsidR="00A968D5" w:rsidRPr="00074B39" w:rsidRDefault="00A968D5" w:rsidP="00074B39">
            <w:pPr>
              <w:jc w:val="center"/>
            </w:pPr>
            <w:r>
              <w:rPr>
                <w:lang w:val="sr-Cyrl-RS"/>
              </w:rPr>
              <w:t>2</w:t>
            </w:r>
            <w:r w:rsidRPr="00AA2BEB">
              <w:t>.</w:t>
            </w:r>
            <w:r>
              <w:rPr>
                <w:lang w:val="sr-Cyrl-RS"/>
              </w:rPr>
              <w:t>6</w:t>
            </w:r>
            <w:r w:rsidR="00074B39">
              <w:t>06</w:t>
            </w:r>
          </w:p>
        </w:tc>
        <w:tc>
          <w:tcPr>
            <w:tcW w:w="1443" w:type="dxa"/>
            <w:tcBorders>
              <w:right w:val="triple" w:sz="4" w:space="0" w:color="auto"/>
            </w:tcBorders>
            <w:vAlign w:val="center"/>
          </w:tcPr>
          <w:p w:rsidR="00A968D5" w:rsidRPr="00AA2BEB" w:rsidRDefault="00A968D5" w:rsidP="00074B39">
            <w:pPr>
              <w:jc w:val="center"/>
              <w:rPr>
                <w:lang w:val="sr-Cyrl-CS"/>
              </w:rPr>
            </w:pPr>
            <w:r w:rsidRPr="00AA2BEB">
              <w:rPr>
                <w:lang w:val="sr-Cyrl-CS"/>
              </w:rPr>
              <w:t>1</w:t>
            </w:r>
            <w:r>
              <w:rPr>
                <w:lang w:val="sr-Cyrl-CS"/>
              </w:rPr>
              <w:t>5</w:t>
            </w:r>
            <w:r w:rsidRPr="00AA2BEB">
              <w:rPr>
                <w:lang w:val="sr-Cyrl-CS"/>
              </w:rPr>
              <w:t>,</w:t>
            </w:r>
            <w:r w:rsidR="00074B39">
              <w:t>57</w:t>
            </w:r>
            <w:r w:rsidRPr="00AA2BEB">
              <w:rPr>
                <w:lang w:val="sr-Cyrl-CS"/>
              </w:rPr>
              <w:t>%</w:t>
            </w:r>
          </w:p>
        </w:tc>
      </w:tr>
      <w:tr w:rsidR="00A968D5" w:rsidRPr="00AA2BEB" w:rsidTr="00C61DAF">
        <w:tc>
          <w:tcPr>
            <w:tcW w:w="1402" w:type="dxa"/>
            <w:tcBorders>
              <w:left w:val="triple" w:sz="4" w:space="0" w:color="auto"/>
              <w:bottom w:val="double" w:sz="4" w:space="0" w:color="auto"/>
            </w:tcBorders>
            <w:vAlign w:val="center"/>
          </w:tcPr>
          <w:p w:rsidR="00A968D5" w:rsidRPr="00AA2BEB" w:rsidRDefault="00A968D5" w:rsidP="00C61DAF">
            <w:pPr>
              <w:jc w:val="center"/>
              <w:rPr>
                <w:lang w:val="sr-Cyrl-CS"/>
              </w:rPr>
            </w:pPr>
            <w:r w:rsidRPr="00AA2BEB">
              <w:rPr>
                <w:lang w:val="sr-Cyrl-CS"/>
              </w:rPr>
              <w:t>Четири године</w:t>
            </w:r>
          </w:p>
        </w:tc>
        <w:tc>
          <w:tcPr>
            <w:tcW w:w="1203" w:type="dxa"/>
            <w:tcBorders>
              <w:bottom w:val="double" w:sz="4" w:space="0" w:color="auto"/>
            </w:tcBorders>
            <w:vAlign w:val="center"/>
          </w:tcPr>
          <w:p w:rsidR="00A968D5" w:rsidRPr="00074B39" w:rsidRDefault="00074B39" w:rsidP="00C61DAF">
            <w:pPr>
              <w:jc w:val="center"/>
            </w:pPr>
            <w:r>
              <w:t>582</w:t>
            </w:r>
          </w:p>
        </w:tc>
        <w:tc>
          <w:tcPr>
            <w:tcW w:w="1202" w:type="dxa"/>
            <w:tcBorders>
              <w:bottom w:val="double" w:sz="4" w:space="0" w:color="auto"/>
            </w:tcBorders>
            <w:vAlign w:val="center"/>
          </w:tcPr>
          <w:p w:rsidR="00A968D5" w:rsidRPr="00074B39" w:rsidRDefault="00A968D5" w:rsidP="00074B39">
            <w:pPr>
              <w:jc w:val="center"/>
            </w:pPr>
            <w:r w:rsidRPr="00AA2BEB">
              <w:rPr>
                <w:lang w:val="sr-Cyrl-CS"/>
              </w:rPr>
              <w:t>1</w:t>
            </w:r>
            <w:r w:rsidR="00074B39">
              <w:t>6</w:t>
            </w:r>
            <w:r w:rsidRPr="00AA2BEB">
              <w:rPr>
                <w:lang w:val="sr-Cyrl-CS"/>
              </w:rPr>
              <w:t>.</w:t>
            </w:r>
            <w:r w:rsidR="00074B39">
              <w:t>669</w:t>
            </w:r>
          </w:p>
        </w:tc>
        <w:tc>
          <w:tcPr>
            <w:tcW w:w="1199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A968D5" w:rsidRPr="00AA2BEB" w:rsidRDefault="00A968D5" w:rsidP="00074B39">
            <w:pPr>
              <w:spacing w:line="360" w:lineRule="auto"/>
              <w:jc w:val="center"/>
              <w:rPr>
                <w:lang w:val="sr-Cyrl-RS"/>
              </w:rPr>
            </w:pPr>
            <w:r>
              <w:rPr>
                <w:lang w:val="sr-Cyrl-CS"/>
              </w:rPr>
              <w:t>8</w:t>
            </w:r>
            <w:r w:rsidR="00074B39">
              <w:t>1</w:t>
            </w:r>
            <w:r w:rsidRPr="00AA2BEB">
              <w:rPr>
                <w:lang w:val="sr-Cyrl-CS"/>
              </w:rPr>
              <w:t>,</w:t>
            </w:r>
            <w:r w:rsidR="00074B39">
              <w:t>76</w:t>
            </w:r>
            <w:r w:rsidRPr="00AA2BEB">
              <w:rPr>
                <w:lang w:val="sr-Cyrl-RS"/>
              </w:rPr>
              <w:t>%</w:t>
            </w:r>
          </w:p>
        </w:tc>
        <w:tc>
          <w:tcPr>
            <w:tcW w:w="1204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A968D5" w:rsidRPr="00074B39" w:rsidRDefault="00A968D5" w:rsidP="00074B39">
            <w:pPr>
              <w:jc w:val="center"/>
            </w:pPr>
            <w:r>
              <w:rPr>
                <w:lang w:val="sr-Cyrl-RS"/>
              </w:rPr>
              <w:t>5</w:t>
            </w:r>
            <w:r w:rsidR="00074B39">
              <w:t>73</w:t>
            </w:r>
          </w:p>
        </w:tc>
        <w:tc>
          <w:tcPr>
            <w:tcW w:w="1203" w:type="dxa"/>
            <w:tcBorders>
              <w:bottom w:val="double" w:sz="4" w:space="0" w:color="auto"/>
            </w:tcBorders>
            <w:vAlign w:val="center"/>
          </w:tcPr>
          <w:p w:rsidR="00A968D5" w:rsidRPr="00074B39" w:rsidRDefault="00A968D5" w:rsidP="00074B39">
            <w:pPr>
              <w:jc w:val="center"/>
            </w:pPr>
            <w:r w:rsidRPr="00AA2BEB">
              <w:rPr>
                <w:lang w:val="sr-Cyrl-CS"/>
              </w:rPr>
              <w:t>1</w:t>
            </w:r>
            <w:r>
              <w:rPr>
                <w:lang w:val="sr-Cyrl-CS"/>
              </w:rPr>
              <w:t>4</w:t>
            </w:r>
            <w:r w:rsidRPr="00AA2BEB">
              <w:rPr>
                <w:lang w:val="sr-Cyrl-CS"/>
              </w:rPr>
              <w:t>.</w:t>
            </w:r>
            <w:r w:rsidR="00074B39">
              <w:t>127</w:t>
            </w:r>
          </w:p>
        </w:tc>
        <w:tc>
          <w:tcPr>
            <w:tcW w:w="1443" w:type="dxa"/>
            <w:tcBorders>
              <w:bottom w:val="double" w:sz="4" w:space="0" w:color="auto"/>
              <w:right w:val="triple" w:sz="4" w:space="0" w:color="auto"/>
            </w:tcBorders>
            <w:vAlign w:val="center"/>
          </w:tcPr>
          <w:p w:rsidR="00A968D5" w:rsidRPr="00AA2BEB" w:rsidRDefault="00A968D5" w:rsidP="00074B39">
            <w:pPr>
              <w:jc w:val="center"/>
              <w:rPr>
                <w:lang w:val="sr-Cyrl-CS"/>
              </w:rPr>
            </w:pPr>
            <w:r w:rsidRPr="00AA2BEB">
              <w:rPr>
                <w:lang w:val="sr-Cyrl-CS"/>
              </w:rPr>
              <w:t>8</w:t>
            </w:r>
            <w:r>
              <w:rPr>
                <w:lang w:val="sr-Cyrl-CS"/>
              </w:rPr>
              <w:t>4</w:t>
            </w:r>
            <w:r w:rsidRPr="00AA2BEB">
              <w:rPr>
                <w:lang w:val="sr-Cyrl-CS"/>
              </w:rPr>
              <w:t>,</w:t>
            </w:r>
            <w:r w:rsidR="00074B39">
              <w:t>43</w:t>
            </w:r>
            <w:r w:rsidRPr="00AA2BEB">
              <w:rPr>
                <w:lang w:val="sr-Cyrl-CS"/>
              </w:rPr>
              <w:t>%</w:t>
            </w:r>
          </w:p>
        </w:tc>
      </w:tr>
      <w:tr w:rsidR="00A968D5" w:rsidRPr="00AA2BEB" w:rsidTr="00C61DAF">
        <w:tc>
          <w:tcPr>
            <w:tcW w:w="1402" w:type="dxa"/>
            <w:tcBorders>
              <w:top w:val="double" w:sz="4" w:space="0" w:color="auto"/>
              <w:left w:val="triple" w:sz="4" w:space="0" w:color="auto"/>
              <w:bottom w:val="triple" w:sz="4" w:space="0" w:color="auto"/>
            </w:tcBorders>
            <w:vAlign w:val="center"/>
          </w:tcPr>
          <w:p w:rsidR="00A968D5" w:rsidRPr="00AA2BEB" w:rsidRDefault="00A968D5" w:rsidP="00C61DAF">
            <w:pPr>
              <w:jc w:val="center"/>
              <w:rPr>
                <w:lang w:val="sr-Cyrl-CS"/>
              </w:rPr>
            </w:pPr>
            <w:r w:rsidRPr="00AA2BEB">
              <w:rPr>
                <w:lang w:val="sr-Cyrl-CS"/>
              </w:rPr>
              <w:t>Укупно</w:t>
            </w:r>
          </w:p>
        </w:tc>
        <w:tc>
          <w:tcPr>
            <w:tcW w:w="1203" w:type="dxa"/>
            <w:tcBorders>
              <w:top w:val="double" w:sz="4" w:space="0" w:color="auto"/>
              <w:bottom w:val="triple" w:sz="4" w:space="0" w:color="auto"/>
            </w:tcBorders>
            <w:vAlign w:val="center"/>
          </w:tcPr>
          <w:p w:rsidR="00A968D5" w:rsidRPr="00074B39" w:rsidRDefault="00A968D5" w:rsidP="00074B39">
            <w:pPr>
              <w:jc w:val="center"/>
            </w:pPr>
            <w:r>
              <w:rPr>
                <w:lang w:val="sr-Cyrl-RS"/>
              </w:rPr>
              <w:t>7</w:t>
            </w:r>
            <w:r w:rsidR="00074B39">
              <w:t>06</w:t>
            </w:r>
          </w:p>
        </w:tc>
        <w:tc>
          <w:tcPr>
            <w:tcW w:w="1202" w:type="dxa"/>
            <w:tcBorders>
              <w:top w:val="double" w:sz="4" w:space="0" w:color="auto"/>
              <w:bottom w:val="triple" w:sz="4" w:space="0" w:color="auto"/>
            </w:tcBorders>
            <w:vAlign w:val="center"/>
          </w:tcPr>
          <w:p w:rsidR="00A968D5" w:rsidRPr="00074B39" w:rsidRDefault="00A968D5" w:rsidP="00074B39">
            <w:pPr>
              <w:jc w:val="center"/>
            </w:pPr>
            <w:r w:rsidRPr="00AA2BEB">
              <w:rPr>
                <w:lang w:val="sr-Cyrl-CS"/>
              </w:rPr>
              <w:t>2</w:t>
            </w:r>
            <w:r w:rsidR="00074B39">
              <w:t>0</w:t>
            </w:r>
            <w:r w:rsidRPr="00AA2BEB">
              <w:rPr>
                <w:lang w:val="sr-Cyrl-CS"/>
              </w:rPr>
              <w:t>.</w:t>
            </w:r>
            <w:r w:rsidR="00074B39">
              <w:t>389</w:t>
            </w:r>
          </w:p>
        </w:tc>
        <w:tc>
          <w:tcPr>
            <w:tcW w:w="1199" w:type="dxa"/>
            <w:tcBorders>
              <w:top w:val="double" w:sz="4" w:space="0" w:color="auto"/>
              <w:bottom w:val="triple" w:sz="4" w:space="0" w:color="auto"/>
              <w:right w:val="double" w:sz="4" w:space="0" w:color="auto"/>
            </w:tcBorders>
            <w:vAlign w:val="center"/>
          </w:tcPr>
          <w:p w:rsidR="00A968D5" w:rsidRPr="00AA2BEB" w:rsidRDefault="00A968D5" w:rsidP="00C61DAF">
            <w:pPr>
              <w:jc w:val="center"/>
              <w:rPr>
                <w:lang w:val="sr-Cyrl-CS"/>
              </w:rPr>
            </w:pPr>
            <w:r w:rsidRPr="00AA2BEB">
              <w:rPr>
                <w:lang w:val="sr-Cyrl-CS"/>
              </w:rPr>
              <w:t>100,00%</w:t>
            </w:r>
          </w:p>
        </w:tc>
        <w:tc>
          <w:tcPr>
            <w:tcW w:w="1204" w:type="dxa"/>
            <w:tcBorders>
              <w:top w:val="double" w:sz="4" w:space="0" w:color="auto"/>
              <w:left w:val="double" w:sz="4" w:space="0" w:color="auto"/>
              <w:bottom w:val="triple" w:sz="4" w:space="0" w:color="auto"/>
            </w:tcBorders>
            <w:vAlign w:val="center"/>
          </w:tcPr>
          <w:p w:rsidR="00A968D5" w:rsidRPr="00927457" w:rsidRDefault="00074B39" w:rsidP="00C61DAF">
            <w:pPr>
              <w:jc w:val="center"/>
              <w:rPr>
                <w:lang w:val="sr-Cyrl-RS"/>
              </w:rPr>
            </w:pPr>
            <w:r>
              <w:t>696</w:t>
            </w:r>
          </w:p>
        </w:tc>
        <w:tc>
          <w:tcPr>
            <w:tcW w:w="1203" w:type="dxa"/>
            <w:tcBorders>
              <w:top w:val="double" w:sz="4" w:space="0" w:color="auto"/>
              <w:bottom w:val="triple" w:sz="4" w:space="0" w:color="auto"/>
            </w:tcBorders>
            <w:vAlign w:val="center"/>
          </w:tcPr>
          <w:p w:rsidR="00A968D5" w:rsidRPr="00074B39" w:rsidRDefault="00A968D5" w:rsidP="00074B39">
            <w:pPr>
              <w:jc w:val="center"/>
            </w:pPr>
            <w:r w:rsidRPr="00AA2BEB">
              <w:rPr>
                <w:lang w:val="sr-Cyrl-CS"/>
              </w:rPr>
              <w:t>1</w:t>
            </w:r>
            <w:r w:rsidR="00074B39">
              <w:t>6</w:t>
            </w:r>
            <w:r w:rsidRPr="00AA2BEB">
              <w:rPr>
                <w:lang w:val="sr-Cyrl-CS"/>
              </w:rPr>
              <w:t>.</w:t>
            </w:r>
            <w:r w:rsidR="00074B39">
              <w:t>733</w:t>
            </w:r>
          </w:p>
        </w:tc>
        <w:tc>
          <w:tcPr>
            <w:tcW w:w="1443" w:type="dxa"/>
            <w:tcBorders>
              <w:top w:val="doub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A968D5" w:rsidRPr="00AA2BEB" w:rsidRDefault="00A968D5" w:rsidP="00C61DAF">
            <w:pPr>
              <w:jc w:val="center"/>
              <w:rPr>
                <w:lang w:val="sr-Cyrl-CS"/>
              </w:rPr>
            </w:pPr>
          </w:p>
          <w:p w:rsidR="00A968D5" w:rsidRPr="00AA2BEB" w:rsidRDefault="00A968D5" w:rsidP="00C61DAF">
            <w:pPr>
              <w:jc w:val="center"/>
              <w:rPr>
                <w:lang w:val="sr-Cyrl-CS"/>
              </w:rPr>
            </w:pPr>
            <w:r w:rsidRPr="00AA2BEB">
              <w:rPr>
                <w:lang w:val="sr-Cyrl-CS"/>
              </w:rPr>
              <w:t>100,00%</w:t>
            </w:r>
          </w:p>
          <w:p w:rsidR="00A968D5" w:rsidRPr="00AA2BEB" w:rsidRDefault="00A968D5" w:rsidP="00C61DAF">
            <w:pPr>
              <w:jc w:val="center"/>
              <w:rPr>
                <w:lang w:val="sr-Cyrl-CS"/>
              </w:rPr>
            </w:pPr>
          </w:p>
        </w:tc>
      </w:tr>
    </w:tbl>
    <w:p w:rsidR="00A968D5" w:rsidRPr="00933BBE" w:rsidRDefault="00A968D5" w:rsidP="00A968D5">
      <w:pPr>
        <w:jc w:val="both"/>
        <w:rPr>
          <w:lang w:val="sr-Cyrl-CS"/>
        </w:rPr>
      </w:pPr>
      <w:r w:rsidRPr="00933BBE">
        <w:rPr>
          <w:lang w:val="sr-Cyrl-CS"/>
        </w:rPr>
        <w:tab/>
      </w:r>
    </w:p>
    <w:p w:rsidR="00A968D5" w:rsidRPr="00C326EA" w:rsidRDefault="00A968D5" w:rsidP="00A968D5">
      <w:pPr>
        <w:pStyle w:val="BodyText"/>
        <w:rPr>
          <w:lang w:val="sr-Cyrl-RS"/>
        </w:rPr>
      </w:pPr>
      <w:r w:rsidRPr="004C3D8A">
        <w:t xml:space="preserve"> </w:t>
      </w:r>
      <w:r w:rsidRPr="004C3D8A">
        <w:tab/>
        <w:t xml:space="preserve">Настава на два језика у првом разреду средњег образовања и васпитања </w:t>
      </w:r>
      <w:r>
        <w:t xml:space="preserve">реализује </w:t>
      </w:r>
      <w:r w:rsidRPr="004C3D8A">
        <w:t>се</w:t>
      </w:r>
      <w:r w:rsidRPr="00933BBE">
        <w:t xml:space="preserve"> у </w:t>
      </w:r>
      <w:r w:rsidRPr="002D4D8B">
        <w:t>3</w:t>
      </w:r>
      <w:r>
        <w:rPr>
          <w:lang w:val="sr-Cyrl-RS"/>
        </w:rPr>
        <w:t>7</w:t>
      </w:r>
      <w:r w:rsidRPr="00933BBE">
        <w:t xml:space="preserve"> школа (од тога у 3</w:t>
      </w:r>
      <w:r>
        <w:rPr>
          <w:lang w:val="sr-Cyrl-RS"/>
        </w:rPr>
        <w:t>2</w:t>
      </w:r>
      <w:r w:rsidRPr="00933BBE">
        <w:t xml:space="preserve"> на српском и мађарском наставном језику, у </w:t>
      </w:r>
      <w:r>
        <w:t>две</w:t>
      </w:r>
      <w:r w:rsidRPr="00933BBE">
        <w:t xml:space="preserve"> на српском и словачком, у </w:t>
      </w:r>
      <w:r>
        <w:t>две</w:t>
      </w:r>
      <w:r w:rsidRPr="00933BBE">
        <w:t xml:space="preserve"> на српском и румунском и </w:t>
      </w:r>
      <w:r>
        <w:t>у једној</w:t>
      </w:r>
      <w:r w:rsidRPr="00933BBE">
        <w:t xml:space="preserve"> </w:t>
      </w:r>
      <w:r>
        <w:t xml:space="preserve">школи </w:t>
      </w:r>
      <w:r w:rsidRPr="00933BBE">
        <w:t xml:space="preserve">на српском и русинском наставном језику), а настава на једном наставном језику реализује се у 80 школа (од тога у 78 на српском и у </w:t>
      </w:r>
      <w:r>
        <w:t>две</w:t>
      </w:r>
      <w:r w:rsidRPr="00933BBE">
        <w:t xml:space="preserve"> на мађарском наставном језику). У </w:t>
      </w:r>
      <w:r>
        <w:rPr>
          <w:lang w:val="sr-Cyrl-RS"/>
        </w:rPr>
        <w:t>две</w:t>
      </w:r>
      <w:r w:rsidRPr="00933BBE">
        <w:t xml:space="preserve"> средње школе, поред наставе на српском и мађарском језику, реализуј</w:t>
      </w:r>
      <w:r>
        <w:t xml:space="preserve">е </w:t>
      </w:r>
      <w:r w:rsidRPr="00933BBE">
        <w:t>се</w:t>
      </w:r>
      <w:r>
        <w:t xml:space="preserve"> настава и на хрватском језику</w:t>
      </w:r>
      <w:r w:rsidRPr="002D4D8B">
        <w:t xml:space="preserve">, </w:t>
      </w:r>
      <w:r>
        <w:rPr>
          <w:lang w:val="sr-Cyrl-RS"/>
        </w:rPr>
        <w:t xml:space="preserve">а у једној </w:t>
      </w:r>
      <w:r>
        <w:rPr>
          <w:lang w:val="sr-Cyrl-RS"/>
        </w:rPr>
        <w:lastRenderedPageBreak/>
        <w:t>средњој школи</w:t>
      </w:r>
      <w:r>
        <w:t>,</w:t>
      </w:r>
      <w:r>
        <w:rPr>
          <w:lang w:val="sr-Cyrl-RS"/>
        </w:rPr>
        <w:t xml:space="preserve"> поред наставе на српском и мађарском језику, реализује се настава и на словачком језику.</w:t>
      </w:r>
    </w:p>
    <w:p w:rsidR="00A968D5" w:rsidRPr="00933BBE" w:rsidRDefault="00A968D5" w:rsidP="00A968D5">
      <w:pPr>
        <w:pStyle w:val="BodyText"/>
      </w:pPr>
      <w:r w:rsidRPr="00933BBE">
        <w:tab/>
      </w:r>
    </w:p>
    <w:p w:rsidR="00A968D5" w:rsidRPr="00933BBE" w:rsidRDefault="00A968D5" w:rsidP="00A968D5">
      <w:pPr>
        <w:ind w:firstLine="720"/>
        <w:jc w:val="both"/>
        <w:rPr>
          <w:lang w:val="sr-Cyrl-CS"/>
        </w:rPr>
      </w:pPr>
      <w:r w:rsidRPr="00D17670">
        <w:rPr>
          <w:lang w:val="sr-Cyrl-CS"/>
        </w:rPr>
        <w:t>План уписа ученика у први разред средњих школа у АП Војводини, у којима</w:t>
      </w:r>
      <w:r w:rsidRPr="00933BBE">
        <w:rPr>
          <w:lang w:val="sr-Cyrl-CS"/>
        </w:rPr>
        <w:t xml:space="preserve"> се настава </w:t>
      </w:r>
      <w:r>
        <w:rPr>
          <w:lang w:val="sr-Cyrl-CS"/>
        </w:rPr>
        <w:t>одржава</w:t>
      </w:r>
      <w:r w:rsidRPr="00933BBE">
        <w:rPr>
          <w:lang w:val="sr-Cyrl-CS"/>
        </w:rPr>
        <w:t xml:space="preserve"> на </w:t>
      </w:r>
      <w:r w:rsidRPr="00AC753C">
        <w:rPr>
          <w:b/>
          <w:u w:val="single"/>
          <w:lang w:val="sr-Cyrl-CS"/>
        </w:rPr>
        <w:t>српском језику</w:t>
      </w:r>
      <w:r>
        <w:rPr>
          <w:b/>
          <w:u w:val="single"/>
          <w:lang w:val="sr-Cyrl-CS"/>
        </w:rPr>
        <w:t>,</w:t>
      </w:r>
      <w:r w:rsidRPr="00933BBE">
        <w:rPr>
          <w:lang w:val="sr-Cyrl-CS"/>
        </w:rPr>
        <w:t xml:space="preserve"> реализован је са </w:t>
      </w:r>
      <w:r>
        <w:rPr>
          <w:b/>
          <w:bCs/>
          <w:lang w:val="sr-Cyrl-CS"/>
        </w:rPr>
        <w:t>8</w:t>
      </w:r>
      <w:r w:rsidR="00074B39">
        <w:rPr>
          <w:b/>
          <w:bCs/>
        </w:rPr>
        <w:t>3</w:t>
      </w:r>
      <w:r w:rsidRPr="00933BBE">
        <w:rPr>
          <w:b/>
          <w:bCs/>
          <w:lang w:val="sr-Cyrl-CS"/>
        </w:rPr>
        <w:t>,</w:t>
      </w:r>
      <w:r>
        <w:rPr>
          <w:b/>
          <w:bCs/>
          <w:lang w:val="sr-Cyrl-CS"/>
        </w:rPr>
        <w:t>8</w:t>
      </w:r>
      <w:r w:rsidR="00074B39">
        <w:rPr>
          <w:b/>
          <w:bCs/>
        </w:rPr>
        <w:t>1</w:t>
      </w:r>
      <w:r w:rsidRPr="00933BBE">
        <w:rPr>
          <w:b/>
          <w:bCs/>
          <w:lang w:val="sr-Cyrl-CS"/>
        </w:rPr>
        <w:t>%</w:t>
      </w:r>
      <w:r w:rsidRPr="00933BBE">
        <w:rPr>
          <w:lang w:val="sr-Cyrl-CS"/>
        </w:rPr>
        <w:t xml:space="preserve">, што је за </w:t>
      </w:r>
      <w:r w:rsidR="00074B39">
        <w:rPr>
          <w:b/>
        </w:rPr>
        <w:t>2</w:t>
      </w:r>
      <w:r w:rsidRPr="00933BBE">
        <w:rPr>
          <w:b/>
          <w:bCs/>
          <w:lang w:val="sr-Cyrl-CS"/>
        </w:rPr>
        <w:t>%</w:t>
      </w:r>
      <w:r w:rsidRPr="00933BBE">
        <w:rPr>
          <w:lang w:val="sr-Cyrl-CS"/>
        </w:rPr>
        <w:t xml:space="preserve"> </w:t>
      </w:r>
      <w:r>
        <w:rPr>
          <w:b/>
          <w:bCs/>
          <w:lang w:val="sr-Cyrl-CS"/>
        </w:rPr>
        <w:t>мање</w:t>
      </w:r>
      <w:r w:rsidRPr="00933BBE">
        <w:rPr>
          <w:lang w:val="sr-Cyrl-CS"/>
        </w:rPr>
        <w:t xml:space="preserve"> у односу на претходну школску годину, јер је на планираних </w:t>
      </w:r>
      <w:r>
        <w:rPr>
          <w:b/>
          <w:lang w:val="sr-Cyrl-CS"/>
        </w:rPr>
        <w:t>1</w:t>
      </w:r>
      <w:r w:rsidR="00074B39">
        <w:rPr>
          <w:b/>
        </w:rPr>
        <w:t>7</w:t>
      </w:r>
      <w:r w:rsidRPr="00933BBE">
        <w:rPr>
          <w:b/>
          <w:lang w:val="sr-Cyrl-CS"/>
        </w:rPr>
        <w:t>.</w:t>
      </w:r>
      <w:r w:rsidR="00074B39">
        <w:rPr>
          <w:b/>
        </w:rPr>
        <w:t>875</w:t>
      </w:r>
      <w:r w:rsidRPr="00933BBE">
        <w:rPr>
          <w:b/>
          <w:lang w:val="sr-Cyrl-CS"/>
        </w:rPr>
        <w:t xml:space="preserve"> места</w:t>
      </w:r>
      <w:r w:rsidRPr="00933BBE">
        <w:rPr>
          <w:lang w:val="sr-Cyrl-CS"/>
        </w:rPr>
        <w:t xml:space="preserve"> у </w:t>
      </w:r>
      <w:r>
        <w:rPr>
          <w:b/>
          <w:lang w:val="sr-Cyrl-CS"/>
        </w:rPr>
        <w:t>6</w:t>
      </w:r>
      <w:r w:rsidR="00074B39">
        <w:rPr>
          <w:b/>
        </w:rPr>
        <w:t>19</w:t>
      </w:r>
      <w:r w:rsidRPr="00933BBE">
        <w:rPr>
          <w:b/>
          <w:lang w:val="sr-Cyrl-CS"/>
        </w:rPr>
        <w:t xml:space="preserve"> одељења</w:t>
      </w:r>
      <w:r w:rsidRPr="00933BBE">
        <w:rPr>
          <w:lang w:val="sr-Cyrl-CS"/>
        </w:rPr>
        <w:t>, уписано</w:t>
      </w:r>
      <w:r w:rsidRPr="00933BBE">
        <w:rPr>
          <w:b/>
          <w:bCs/>
          <w:lang w:val="sr-Cyrl-CS"/>
        </w:rPr>
        <w:t xml:space="preserve"> 1</w:t>
      </w:r>
      <w:r w:rsidR="00074B39">
        <w:rPr>
          <w:b/>
          <w:bCs/>
        </w:rPr>
        <w:t>4</w:t>
      </w:r>
      <w:r>
        <w:rPr>
          <w:b/>
          <w:bCs/>
          <w:lang w:val="sr-Cyrl-CS"/>
        </w:rPr>
        <w:t>.</w:t>
      </w:r>
      <w:r w:rsidR="00074B39">
        <w:rPr>
          <w:b/>
          <w:bCs/>
        </w:rPr>
        <w:t>982</w:t>
      </w:r>
      <w:r w:rsidRPr="00933BBE">
        <w:rPr>
          <w:b/>
          <w:bCs/>
          <w:lang w:val="sr-Cyrl-CS"/>
        </w:rPr>
        <w:t xml:space="preserve"> ученика</w:t>
      </w:r>
      <w:r w:rsidRPr="00933BBE">
        <w:rPr>
          <w:lang w:val="sr-Cyrl-CS"/>
        </w:rPr>
        <w:t xml:space="preserve"> у </w:t>
      </w:r>
      <w:r w:rsidR="00074B39">
        <w:rPr>
          <w:b/>
          <w:bCs/>
          <w:lang w:val="sr-Cyrl-CS"/>
        </w:rPr>
        <w:t>6</w:t>
      </w:r>
      <w:r w:rsidR="00074B39">
        <w:rPr>
          <w:b/>
          <w:bCs/>
        </w:rPr>
        <w:t>10</w:t>
      </w:r>
      <w:r w:rsidRPr="00933BBE">
        <w:rPr>
          <w:b/>
          <w:bCs/>
          <w:lang w:val="sr-Cyrl-CS"/>
        </w:rPr>
        <w:t xml:space="preserve"> одељења</w:t>
      </w:r>
      <w:r w:rsidRPr="00933BBE">
        <w:rPr>
          <w:lang w:val="sr-Cyrl-CS"/>
        </w:rPr>
        <w:t xml:space="preserve"> (табела 1.). У односу на прошлу школску годину</w:t>
      </w:r>
      <w:r>
        <w:rPr>
          <w:lang w:val="sr-Cyrl-CS"/>
        </w:rPr>
        <w:t xml:space="preserve">, планирано је </w:t>
      </w:r>
      <w:r w:rsidR="00074B39">
        <w:t>565</w:t>
      </w:r>
      <w:r>
        <w:rPr>
          <w:lang w:val="sr-Cyrl-CS"/>
        </w:rPr>
        <w:t xml:space="preserve"> места мање, а</w:t>
      </w:r>
      <w:r w:rsidRPr="00933BBE">
        <w:rPr>
          <w:lang w:val="sr-Cyrl-CS"/>
        </w:rPr>
        <w:t xml:space="preserve"> укупан </w:t>
      </w:r>
      <w:r w:rsidRPr="00933BBE">
        <w:rPr>
          <w:b/>
          <w:bCs/>
          <w:lang w:val="sr-Cyrl-CS"/>
        </w:rPr>
        <w:t xml:space="preserve">број уписаних ученика </w:t>
      </w:r>
      <w:r>
        <w:rPr>
          <w:b/>
          <w:bCs/>
          <w:lang w:val="sr-Cyrl-RS"/>
        </w:rPr>
        <w:t>мањи</w:t>
      </w:r>
      <w:r w:rsidRPr="00933BBE">
        <w:rPr>
          <w:b/>
          <w:bCs/>
          <w:lang w:val="sr-Cyrl-CS"/>
        </w:rPr>
        <w:t xml:space="preserve"> је за </w:t>
      </w:r>
      <w:r w:rsidR="00074B39">
        <w:rPr>
          <w:b/>
          <w:bCs/>
        </w:rPr>
        <w:t>744</w:t>
      </w:r>
      <w:r w:rsidR="00074B39">
        <w:rPr>
          <w:b/>
          <w:bCs/>
          <w:lang w:val="sr-Cyrl-CS"/>
        </w:rPr>
        <w:t xml:space="preserve"> или </w:t>
      </w:r>
      <w:r w:rsidR="00074B39">
        <w:rPr>
          <w:b/>
          <w:bCs/>
        </w:rPr>
        <w:t>4</w:t>
      </w:r>
      <w:r>
        <w:rPr>
          <w:b/>
          <w:bCs/>
          <w:lang w:val="sr-Cyrl-CS"/>
        </w:rPr>
        <w:t>,</w:t>
      </w:r>
      <w:r w:rsidR="00074B39">
        <w:rPr>
          <w:b/>
          <w:bCs/>
        </w:rPr>
        <w:t>73</w:t>
      </w:r>
      <w:r>
        <w:rPr>
          <w:b/>
          <w:bCs/>
          <w:lang w:val="sr-Cyrl-CS"/>
        </w:rPr>
        <w:t>%</w:t>
      </w:r>
      <w:r w:rsidRPr="00933BBE">
        <w:rPr>
          <w:lang w:val="sr-Cyrl-CS"/>
        </w:rPr>
        <w:t xml:space="preserve">. Просечан број ученика у одељењу је око </w:t>
      </w:r>
      <w:r w:rsidRPr="00933BBE">
        <w:rPr>
          <w:b/>
          <w:bCs/>
          <w:lang w:val="sr-Cyrl-CS"/>
        </w:rPr>
        <w:t>2</w:t>
      </w:r>
      <w:r>
        <w:rPr>
          <w:b/>
          <w:bCs/>
          <w:lang w:val="sr-Cyrl-CS"/>
        </w:rPr>
        <w:t>5</w:t>
      </w:r>
      <w:r w:rsidRPr="00933BBE">
        <w:rPr>
          <w:lang w:val="sr-Cyrl-CS"/>
        </w:rPr>
        <w:t>.</w:t>
      </w:r>
    </w:p>
    <w:p w:rsidR="00A968D5" w:rsidRPr="00933BBE" w:rsidRDefault="00A968D5" w:rsidP="00A968D5">
      <w:pPr>
        <w:pStyle w:val="BodyText"/>
        <w:rPr>
          <w:lang w:val="ru-RU"/>
        </w:rPr>
      </w:pPr>
    </w:p>
    <w:p w:rsidR="00A968D5" w:rsidRPr="00EC615C" w:rsidRDefault="00A968D5" w:rsidP="00A968D5">
      <w:pPr>
        <w:jc w:val="both"/>
        <w:rPr>
          <w:lang w:val="sr-Cyrl-CS"/>
        </w:rPr>
      </w:pPr>
      <w:r w:rsidRPr="00933BBE">
        <w:rPr>
          <w:lang w:val="sr-Cyrl-CS"/>
        </w:rPr>
        <w:tab/>
        <w:t>У току 20</w:t>
      </w:r>
      <w:r>
        <w:rPr>
          <w:lang w:val="sr-Cyrl-CS"/>
        </w:rPr>
        <w:t>1</w:t>
      </w:r>
      <w:r w:rsidR="00C80EAC">
        <w:t>3</w:t>
      </w:r>
      <w:r w:rsidRPr="00933BBE">
        <w:rPr>
          <w:lang w:val="sr-Cyrl-CS"/>
        </w:rPr>
        <w:t>/201</w:t>
      </w:r>
      <w:r w:rsidR="00C80EAC">
        <w:t>4</w:t>
      </w:r>
      <w:r w:rsidRPr="00933BBE">
        <w:rPr>
          <w:lang w:val="sr-Cyrl-CS"/>
        </w:rPr>
        <w:t>. школске године</w:t>
      </w:r>
      <w:r w:rsidRPr="00933BBE">
        <w:rPr>
          <w:lang w:val="ru-RU"/>
        </w:rPr>
        <w:t>,</w:t>
      </w:r>
      <w:r w:rsidRPr="00933BBE">
        <w:rPr>
          <w:lang w:val="sr-Cyrl-CS"/>
        </w:rPr>
        <w:t xml:space="preserve"> наставу на једном од </w:t>
      </w:r>
      <w:r w:rsidRPr="00933BBE">
        <w:rPr>
          <w:b/>
          <w:bCs/>
          <w:lang w:val="sr-Cyrl-CS"/>
        </w:rPr>
        <w:t xml:space="preserve">језика </w:t>
      </w:r>
      <w:r w:rsidRPr="00EC615C">
        <w:rPr>
          <w:b/>
          <w:bCs/>
          <w:lang w:val="sr-Cyrl-CS"/>
        </w:rPr>
        <w:t xml:space="preserve">националних </w:t>
      </w:r>
      <w:r w:rsidR="00C80EAC">
        <w:rPr>
          <w:b/>
          <w:bCs/>
          <w:lang w:val="sr-Cyrl-RS"/>
        </w:rPr>
        <w:t xml:space="preserve">мањина-националних </w:t>
      </w:r>
      <w:r w:rsidRPr="00EC615C">
        <w:rPr>
          <w:b/>
          <w:bCs/>
          <w:lang w:val="sr-Cyrl-CS"/>
        </w:rPr>
        <w:t xml:space="preserve">заједница – </w:t>
      </w:r>
      <w:r w:rsidRPr="00EC615C">
        <w:rPr>
          <w:b/>
          <w:bCs/>
          <w:u w:val="single"/>
          <w:lang w:val="sr-Cyrl-CS"/>
        </w:rPr>
        <w:t>мађарском, словачком, румунском, русинском или хрватском</w:t>
      </w:r>
      <w:r w:rsidRPr="00EC615C">
        <w:rPr>
          <w:lang w:val="sr-Cyrl-CS"/>
        </w:rPr>
        <w:t xml:space="preserve"> – похађало је</w:t>
      </w:r>
      <w:r w:rsidRPr="00EC615C">
        <w:rPr>
          <w:b/>
          <w:bCs/>
          <w:lang w:val="sr-Cyrl-CS"/>
        </w:rPr>
        <w:t xml:space="preserve"> 2.</w:t>
      </w:r>
      <w:r w:rsidR="00C80EAC">
        <w:rPr>
          <w:b/>
          <w:bCs/>
          <w:lang w:val="sr-Cyrl-CS"/>
        </w:rPr>
        <w:t>324</w:t>
      </w:r>
      <w:r w:rsidRPr="00EC615C">
        <w:rPr>
          <w:b/>
          <w:bCs/>
          <w:lang w:val="sr-Cyrl-CS"/>
        </w:rPr>
        <w:t xml:space="preserve"> ученика осмог разреда (</w:t>
      </w:r>
      <w:r w:rsidR="00C80EAC">
        <w:rPr>
          <w:b/>
          <w:bCs/>
          <w:lang w:val="sr-Cyrl-CS"/>
        </w:rPr>
        <w:t>89</w:t>
      </w:r>
      <w:r w:rsidRPr="00EC615C">
        <w:rPr>
          <w:b/>
          <w:bCs/>
          <w:lang w:val="sr-Cyrl-CS"/>
        </w:rPr>
        <w:t xml:space="preserve"> мање него прошле школске године)</w:t>
      </w:r>
      <w:r w:rsidRPr="00EC615C">
        <w:rPr>
          <w:lang w:val="sr-Cyrl-CS"/>
        </w:rPr>
        <w:t xml:space="preserve">, од којих је </w:t>
      </w:r>
      <w:r w:rsidRPr="00EC615C">
        <w:rPr>
          <w:b/>
          <w:bCs/>
          <w:lang w:val="sr-Cyrl-CS"/>
        </w:rPr>
        <w:t>1.</w:t>
      </w:r>
      <w:r w:rsidR="00C80EAC">
        <w:rPr>
          <w:b/>
          <w:bCs/>
          <w:lang w:val="sr-Cyrl-CS"/>
        </w:rPr>
        <w:t>751</w:t>
      </w:r>
      <w:r w:rsidRPr="00EC615C">
        <w:rPr>
          <w:lang w:val="sr-Cyrl-CS"/>
        </w:rPr>
        <w:t xml:space="preserve"> </w:t>
      </w:r>
      <w:r w:rsidRPr="00EC615C">
        <w:rPr>
          <w:b/>
          <w:bCs/>
          <w:lang w:val="sr-Cyrl-CS"/>
        </w:rPr>
        <w:t>ученика</w:t>
      </w:r>
      <w:r w:rsidRPr="00EC615C">
        <w:rPr>
          <w:lang w:val="sr-Cyrl-CS"/>
        </w:rPr>
        <w:t xml:space="preserve"> (</w:t>
      </w:r>
      <w:r w:rsidRPr="00EC615C">
        <w:rPr>
          <w:b/>
          <w:bCs/>
          <w:lang w:val="sr-Cyrl-CS"/>
        </w:rPr>
        <w:t>7</w:t>
      </w:r>
      <w:r w:rsidR="00C80EAC">
        <w:rPr>
          <w:b/>
          <w:bCs/>
          <w:lang w:val="sr-Cyrl-CS"/>
        </w:rPr>
        <w:t>5</w:t>
      </w:r>
      <w:r w:rsidRPr="00EC615C">
        <w:rPr>
          <w:b/>
          <w:bCs/>
          <w:lang w:val="sr-Cyrl-CS"/>
        </w:rPr>
        <w:t>,</w:t>
      </w:r>
      <w:r w:rsidR="00C80EAC">
        <w:rPr>
          <w:b/>
          <w:bCs/>
          <w:lang w:val="sr-Cyrl-CS"/>
        </w:rPr>
        <w:t>34</w:t>
      </w:r>
      <w:r w:rsidRPr="00EC615C">
        <w:rPr>
          <w:b/>
          <w:bCs/>
          <w:lang w:val="sr-Cyrl-CS"/>
        </w:rPr>
        <w:t>%</w:t>
      </w:r>
      <w:r w:rsidRPr="00EC615C">
        <w:rPr>
          <w:lang w:val="sr-Cyrl-CS"/>
        </w:rPr>
        <w:t xml:space="preserve">) </w:t>
      </w:r>
      <w:r w:rsidRPr="00EC615C">
        <w:rPr>
          <w:b/>
          <w:bCs/>
          <w:lang w:val="sr-Cyrl-CS"/>
        </w:rPr>
        <w:t>наставило да се школује на матерњем језику</w:t>
      </w:r>
      <w:r w:rsidRPr="00EC615C">
        <w:rPr>
          <w:lang w:val="sr-Cyrl-CS"/>
        </w:rPr>
        <w:t xml:space="preserve"> у средњој школи у школској 201</w:t>
      </w:r>
      <w:r w:rsidR="00C80EAC">
        <w:rPr>
          <w:lang w:val="sr-Cyrl-CS"/>
        </w:rPr>
        <w:t>4</w:t>
      </w:r>
      <w:r w:rsidRPr="00EC615C">
        <w:rPr>
          <w:lang w:val="sr-Cyrl-CS"/>
        </w:rPr>
        <w:t>/201</w:t>
      </w:r>
      <w:r w:rsidR="00C80EAC">
        <w:rPr>
          <w:lang w:val="sr-Cyrl-CS"/>
        </w:rPr>
        <w:t>5</w:t>
      </w:r>
      <w:r w:rsidR="00100A36">
        <w:rPr>
          <w:lang w:val="sr-Cyrl-CS"/>
        </w:rPr>
        <w:t>. години (2</w:t>
      </w:r>
      <w:r w:rsidRPr="00EC615C">
        <w:rPr>
          <w:lang w:val="sr-Cyrl-CS"/>
        </w:rPr>
        <w:t>,</w:t>
      </w:r>
      <w:r w:rsidR="00100A36">
        <w:rPr>
          <w:lang w:val="sr-Cyrl-CS"/>
        </w:rPr>
        <w:t>53</w:t>
      </w:r>
      <w:r w:rsidRPr="00EC615C">
        <w:rPr>
          <w:lang w:val="sr-Cyrl-CS"/>
        </w:rPr>
        <w:t>% мање).</w:t>
      </w:r>
    </w:p>
    <w:p w:rsidR="00A968D5" w:rsidRPr="00EC615C" w:rsidRDefault="00A968D5" w:rsidP="00A968D5">
      <w:pPr>
        <w:jc w:val="both"/>
        <w:rPr>
          <w:lang w:val="ru-RU"/>
        </w:rPr>
      </w:pPr>
    </w:p>
    <w:p w:rsidR="00A968D5" w:rsidRPr="00EC615C" w:rsidRDefault="00A968D5" w:rsidP="00A968D5">
      <w:pPr>
        <w:jc w:val="both"/>
        <w:rPr>
          <w:lang w:val="ru-RU"/>
        </w:rPr>
      </w:pPr>
      <w:r w:rsidRPr="00EC615C">
        <w:rPr>
          <w:lang w:val="sr-Cyrl-CS"/>
        </w:rPr>
        <w:tab/>
        <w:t xml:space="preserve">План уписа ученика у први разред средњих школа у АП Војводини, у којима се настава изводи на </w:t>
      </w:r>
      <w:r w:rsidRPr="00EC615C">
        <w:rPr>
          <w:b/>
          <w:u w:val="single"/>
          <w:lang w:val="sr-Cyrl-CS"/>
        </w:rPr>
        <w:t>мађарском језику,</w:t>
      </w:r>
      <w:r w:rsidRPr="00EC615C">
        <w:rPr>
          <w:lang w:val="sr-Cyrl-CS"/>
        </w:rPr>
        <w:t xml:space="preserve"> реализован је са </w:t>
      </w:r>
      <w:r w:rsidR="00100A36">
        <w:rPr>
          <w:b/>
          <w:lang w:val="sr-Cyrl-CS"/>
        </w:rPr>
        <w:t>68</w:t>
      </w:r>
      <w:r w:rsidRPr="00EC615C">
        <w:rPr>
          <w:b/>
          <w:bCs/>
          <w:lang w:val="sr-Cyrl-CS"/>
        </w:rPr>
        <w:t>,</w:t>
      </w:r>
      <w:r w:rsidR="00100A36">
        <w:rPr>
          <w:b/>
          <w:bCs/>
          <w:lang w:val="sr-Cyrl-CS"/>
        </w:rPr>
        <w:t>81</w:t>
      </w:r>
      <w:r w:rsidRPr="00EC615C">
        <w:rPr>
          <w:b/>
          <w:bCs/>
          <w:lang w:val="sr-Cyrl-CS"/>
        </w:rPr>
        <w:t>%</w:t>
      </w:r>
      <w:r w:rsidRPr="00EC615C">
        <w:rPr>
          <w:lang w:val="sr-Cyrl-CS"/>
        </w:rPr>
        <w:t xml:space="preserve">, што је за </w:t>
      </w:r>
      <w:r w:rsidR="00100A36">
        <w:rPr>
          <w:b/>
          <w:lang w:val="sr-Cyrl-CS"/>
        </w:rPr>
        <w:t>2</w:t>
      </w:r>
      <w:r w:rsidRPr="00EC615C">
        <w:rPr>
          <w:b/>
          <w:bCs/>
          <w:lang w:val="sr-Cyrl-CS"/>
        </w:rPr>
        <w:t>,</w:t>
      </w:r>
      <w:r w:rsidR="00100A36">
        <w:rPr>
          <w:b/>
          <w:bCs/>
          <w:lang w:val="sr-Cyrl-CS"/>
        </w:rPr>
        <w:t>55</w:t>
      </w:r>
      <w:r w:rsidRPr="00EC615C">
        <w:rPr>
          <w:b/>
          <w:bCs/>
          <w:lang w:val="sr-Cyrl-CS"/>
        </w:rPr>
        <w:t>% мање</w:t>
      </w:r>
      <w:r w:rsidRPr="00EC615C">
        <w:rPr>
          <w:lang w:val="sr-Cyrl-CS"/>
        </w:rPr>
        <w:t xml:space="preserve"> у односу на претходну школску годину, јер је на планирана </w:t>
      </w:r>
      <w:r w:rsidRPr="00EC615C">
        <w:rPr>
          <w:b/>
          <w:lang w:val="sr-Cyrl-CS"/>
        </w:rPr>
        <w:t>2.</w:t>
      </w:r>
      <w:r w:rsidR="00100A36">
        <w:rPr>
          <w:b/>
          <w:lang w:val="sr-Cyrl-CS"/>
        </w:rPr>
        <w:t>244</w:t>
      </w:r>
      <w:r w:rsidRPr="00EC615C">
        <w:rPr>
          <w:b/>
          <w:lang w:val="sr-Cyrl-CS"/>
        </w:rPr>
        <w:t xml:space="preserve"> места</w:t>
      </w:r>
      <w:r w:rsidRPr="00EC615C">
        <w:rPr>
          <w:lang w:val="sr-Cyrl-CS"/>
        </w:rPr>
        <w:t xml:space="preserve"> у </w:t>
      </w:r>
      <w:r w:rsidR="00100A36">
        <w:rPr>
          <w:b/>
          <w:lang w:val="sr-Cyrl-CS"/>
        </w:rPr>
        <w:t>78</w:t>
      </w:r>
      <w:r w:rsidRPr="00EC615C">
        <w:rPr>
          <w:b/>
          <w:lang w:val="sr-Cyrl-CS"/>
        </w:rPr>
        <w:t xml:space="preserve"> </w:t>
      </w:r>
      <w:r w:rsidR="00100A36">
        <w:rPr>
          <w:lang w:val="sr-Cyrl-CS"/>
        </w:rPr>
        <w:t>одељења</w:t>
      </w:r>
      <w:r w:rsidRPr="00EC615C">
        <w:rPr>
          <w:lang w:val="sr-Cyrl-CS"/>
        </w:rPr>
        <w:t xml:space="preserve">, уписано </w:t>
      </w:r>
      <w:r w:rsidRPr="00EC615C">
        <w:rPr>
          <w:b/>
          <w:lang w:val="sr-Cyrl-CS"/>
        </w:rPr>
        <w:t>1</w:t>
      </w:r>
      <w:r w:rsidRPr="00EC615C">
        <w:rPr>
          <w:b/>
          <w:bCs/>
          <w:lang w:val="sr-Cyrl-CS"/>
        </w:rPr>
        <w:t>.</w:t>
      </w:r>
      <w:r w:rsidR="00100A36">
        <w:rPr>
          <w:b/>
          <w:bCs/>
          <w:lang w:val="sr-Cyrl-CS"/>
        </w:rPr>
        <w:t>544</w:t>
      </w:r>
      <w:r w:rsidRPr="00EC615C">
        <w:rPr>
          <w:b/>
          <w:bCs/>
          <w:lang w:val="sr-Cyrl-CS"/>
        </w:rPr>
        <w:t xml:space="preserve"> ученика</w:t>
      </w:r>
      <w:r w:rsidRPr="00EC615C">
        <w:rPr>
          <w:lang w:val="sr-Cyrl-CS"/>
        </w:rPr>
        <w:t xml:space="preserve"> у </w:t>
      </w:r>
      <w:r w:rsidRPr="00EC615C">
        <w:rPr>
          <w:b/>
          <w:bCs/>
          <w:lang w:val="sr-Cyrl-CS"/>
        </w:rPr>
        <w:t>7</w:t>
      </w:r>
      <w:r w:rsidR="00100A36">
        <w:rPr>
          <w:b/>
          <w:bCs/>
          <w:lang w:val="sr-Cyrl-CS"/>
        </w:rPr>
        <w:t>7</w:t>
      </w:r>
      <w:r w:rsidRPr="00EC615C">
        <w:rPr>
          <w:b/>
          <w:bCs/>
          <w:lang w:val="sr-Cyrl-CS"/>
        </w:rPr>
        <w:t xml:space="preserve"> одељења</w:t>
      </w:r>
      <w:r w:rsidRPr="00EC615C">
        <w:rPr>
          <w:lang w:val="sr-Cyrl-CS"/>
        </w:rPr>
        <w:t xml:space="preserve"> (табела 2.). У односу на прошлу школску годину, </w:t>
      </w:r>
      <w:r w:rsidRPr="00EC615C">
        <w:rPr>
          <w:b/>
          <w:bCs/>
          <w:lang w:val="sr-Cyrl-CS"/>
        </w:rPr>
        <w:t xml:space="preserve">број уписаних ученика мањи </w:t>
      </w:r>
      <w:r w:rsidRPr="00EC615C">
        <w:rPr>
          <w:lang w:val="sr-Cyrl-CS"/>
        </w:rPr>
        <w:t>је</w:t>
      </w:r>
      <w:r w:rsidRPr="00EC615C">
        <w:rPr>
          <w:b/>
          <w:bCs/>
          <w:lang w:val="sr-Cyrl-CS"/>
        </w:rPr>
        <w:t xml:space="preserve"> за </w:t>
      </w:r>
      <w:r w:rsidR="00100A36">
        <w:rPr>
          <w:b/>
          <w:bCs/>
          <w:lang w:val="sr-Cyrl-CS"/>
        </w:rPr>
        <w:t xml:space="preserve">135 или </w:t>
      </w:r>
      <w:r w:rsidRPr="00EC615C">
        <w:rPr>
          <w:b/>
          <w:bCs/>
          <w:lang w:val="sr-Cyrl-CS"/>
        </w:rPr>
        <w:t>8%</w:t>
      </w:r>
      <w:r w:rsidRPr="00EC615C">
        <w:rPr>
          <w:lang w:val="sr-Cyrl-CS"/>
        </w:rPr>
        <w:t xml:space="preserve">. Просечан број ученика у одељењу је око </w:t>
      </w:r>
      <w:r w:rsidRPr="00EC615C">
        <w:rPr>
          <w:b/>
          <w:bCs/>
          <w:lang w:val="sr-Cyrl-CS"/>
        </w:rPr>
        <w:t>2</w:t>
      </w:r>
      <w:r w:rsidR="00100A36">
        <w:rPr>
          <w:b/>
          <w:bCs/>
          <w:lang w:val="sr-Cyrl-CS"/>
        </w:rPr>
        <w:t>0</w:t>
      </w:r>
      <w:r w:rsidRPr="00EC615C">
        <w:rPr>
          <w:lang w:val="sr-Cyrl-CS"/>
        </w:rPr>
        <w:t>.</w:t>
      </w:r>
    </w:p>
    <w:p w:rsidR="00A968D5" w:rsidRPr="00EC615C" w:rsidRDefault="00A968D5" w:rsidP="00A968D5">
      <w:pPr>
        <w:jc w:val="both"/>
        <w:rPr>
          <w:lang w:val="sr-Cyrl-CS"/>
        </w:rPr>
      </w:pPr>
    </w:p>
    <w:p w:rsidR="00A968D5" w:rsidRPr="00EC615C" w:rsidRDefault="00A968D5" w:rsidP="00A968D5">
      <w:pPr>
        <w:jc w:val="both"/>
        <w:rPr>
          <w:lang w:val="ru-RU"/>
        </w:rPr>
      </w:pPr>
      <w:r w:rsidRPr="00EC615C">
        <w:rPr>
          <w:lang w:val="sr-Cyrl-CS"/>
        </w:rPr>
        <w:tab/>
        <w:t xml:space="preserve">Број </w:t>
      </w:r>
      <w:r w:rsidRPr="00EC615C">
        <w:rPr>
          <w:bCs/>
          <w:lang w:val="sr-Cyrl-CS"/>
        </w:rPr>
        <w:t>ученика</w:t>
      </w:r>
      <w:r w:rsidRPr="00EC615C">
        <w:rPr>
          <w:lang w:val="sr-Cyrl-CS"/>
        </w:rPr>
        <w:t xml:space="preserve"> основних школа који су у</w:t>
      </w:r>
      <w:r w:rsidRPr="00EC615C">
        <w:rPr>
          <w:b/>
          <w:bCs/>
          <w:lang w:val="sr-Cyrl-CS"/>
        </w:rPr>
        <w:t xml:space="preserve"> завршном (осмом) разреду</w:t>
      </w:r>
      <w:r w:rsidRPr="00EC615C">
        <w:rPr>
          <w:lang w:val="sr-Cyrl-CS"/>
        </w:rPr>
        <w:t xml:space="preserve"> у школској 201</w:t>
      </w:r>
      <w:r w:rsidR="00100A36">
        <w:rPr>
          <w:lang w:val="sr-Cyrl-CS"/>
        </w:rPr>
        <w:t>3</w:t>
      </w:r>
      <w:r w:rsidRPr="00EC615C">
        <w:rPr>
          <w:lang w:val="sr-Cyrl-CS"/>
        </w:rPr>
        <w:t>/201</w:t>
      </w:r>
      <w:r w:rsidR="00100A36">
        <w:rPr>
          <w:lang w:val="sr-Cyrl-CS"/>
        </w:rPr>
        <w:t>4</w:t>
      </w:r>
      <w:r w:rsidRPr="00EC615C">
        <w:rPr>
          <w:lang w:val="sr-Cyrl-CS"/>
        </w:rPr>
        <w:t>. години похађали наставу на мађарском језику јесте</w:t>
      </w:r>
      <w:r w:rsidRPr="00EC615C">
        <w:rPr>
          <w:b/>
          <w:bCs/>
          <w:lang w:val="sr-Cyrl-CS"/>
        </w:rPr>
        <w:t xml:space="preserve"> 1.</w:t>
      </w:r>
      <w:r w:rsidR="00100A36">
        <w:rPr>
          <w:b/>
          <w:bCs/>
          <w:lang w:val="sr-Cyrl-CS"/>
        </w:rPr>
        <w:t>722</w:t>
      </w:r>
      <w:r w:rsidRPr="00EC615C">
        <w:rPr>
          <w:b/>
          <w:bCs/>
          <w:lang w:val="sr-Cyrl-CS"/>
        </w:rPr>
        <w:t xml:space="preserve"> </w:t>
      </w:r>
      <w:r w:rsidRPr="00EC615C">
        <w:rPr>
          <w:lang w:val="sr-Cyrl-CS"/>
        </w:rPr>
        <w:t>(</w:t>
      </w:r>
      <w:r w:rsidR="00100A36">
        <w:rPr>
          <w:lang w:val="sr-Cyrl-CS"/>
        </w:rPr>
        <w:t>119</w:t>
      </w:r>
      <w:r w:rsidRPr="00EC615C">
        <w:rPr>
          <w:lang w:val="sr-Cyrl-CS"/>
        </w:rPr>
        <w:t xml:space="preserve"> ученика мање него претходне школске године), од којих је </w:t>
      </w:r>
      <w:r w:rsidRPr="00EC615C">
        <w:rPr>
          <w:b/>
          <w:lang w:val="sr-Cyrl-CS"/>
        </w:rPr>
        <w:t>1</w:t>
      </w:r>
      <w:r w:rsidRPr="00EC615C">
        <w:rPr>
          <w:b/>
          <w:bCs/>
          <w:lang w:val="sr-Cyrl-CS"/>
        </w:rPr>
        <w:t>.</w:t>
      </w:r>
      <w:r w:rsidR="00100A36">
        <w:rPr>
          <w:b/>
          <w:bCs/>
          <w:lang w:val="sr-Cyrl-CS"/>
        </w:rPr>
        <w:t>544</w:t>
      </w:r>
      <w:r w:rsidRPr="00EC615C">
        <w:rPr>
          <w:b/>
          <w:bCs/>
          <w:lang w:val="sr-Cyrl-CS"/>
        </w:rPr>
        <w:t xml:space="preserve"> ученика</w:t>
      </w:r>
      <w:r w:rsidRPr="00EC615C">
        <w:rPr>
          <w:lang w:val="sr-Cyrl-CS"/>
        </w:rPr>
        <w:t xml:space="preserve"> или </w:t>
      </w:r>
      <w:r w:rsidR="00100A36">
        <w:rPr>
          <w:b/>
          <w:bCs/>
          <w:lang w:val="sr-Cyrl-CS"/>
        </w:rPr>
        <w:t>89</w:t>
      </w:r>
      <w:r w:rsidRPr="00EC615C">
        <w:rPr>
          <w:b/>
          <w:bCs/>
          <w:lang w:val="sr-Cyrl-CS"/>
        </w:rPr>
        <w:t>,</w:t>
      </w:r>
      <w:r w:rsidR="00100A36">
        <w:rPr>
          <w:b/>
          <w:bCs/>
          <w:lang w:val="sr-Cyrl-CS"/>
        </w:rPr>
        <w:t>66</w:t>
      </w:r>
      <w:r w:rsidRPr="00EC615C">
        <w:rPr>
          <w:b/>
          <w:bCs/>
          <w:lang w:val="ru-RU"/>
        </w:rPr>
        <w:t>%</w:t>
      </w:r>
      <w:r w:rsidRPr="00EC615C">
        <w:rPr>
          <w:b/>
          <w:bCs/>
          <w:lang w:val="sr-Cyrl-CS"/>
        </w:rPr>
        <w:t xml:space="preserve"> наставило школовање на матерњем језику</w:t>
      </w:r>
      <w:r w:rsidRPr="00EC615C">
        <w:rPr>
          <w:lang w:val="sr-Cyrl-CS"/>
        </w:rPr>
        <w:t xml:space="preserve">, што је за </w:t>
      </w:r>
      <w:r w:rsidR="00100A36">
        <w:rPr>
          <w:b/>
          <w:bCs/>
          <w:lang w:val="sr-Cyrl-CS"/>
        </w:rPr>
        <w:t>1</w:t>
      </w:r>
      <w:r w:rsidRPr="00EC615C">
        <w:rPr>
          <w:b/>
          <w:bCs/>
          <w:lang w:val="sr-Cyrl-CS"/>
        </w:rPr>
        <w:t>,</w:t>
      </w:r>
      <w:r w:rsidR="00100A36">
        <w:rPr>
          <w:b/>
          <w:bCs/>
          <w:lang w:val="sr-Cyrl-CS"/>
        </w:rPr>
        <w:t>54</w:t>
      </w:r>
      <w:r w:rsidRPr="00EC615C">
        <w:rPr>
          <w:b/>
          <w:bCs/>
          <w:lang w:val="sr-Cyrl-CS"/>
        </w:rPr>
        <w:t>% мање</w:t>
      </w:r>
      <w:r w:rsidRPr="00EC615C">
        <w:rPr>
          <w:lang w:val="sr-Cyrl-CS"/>
        </w:rPr>
        <w:t xml:space="preserve"> него претходне школске године.</w:t>
      </w:r>
    </w:p>
    <w:p w:rsidR="00A968D5" w:rsidRPr="00EC615C" w:rsidRDefault="00A968D5" w:rsidP="00A968D5">
      <w:pPr>
        <w:jc w:val="both"/>
        <w:rPr>
          <w:lang w:val="ru-RU"/>
        </w:rPr>
      </w:pPr>
    </w:p>
    <w:p w:rsidR="00A968D5" w:rsidRPr="00EC615C" w:rsidRDefault="00A968D5" w:rsidP="00A968D5">
      <w:pPr>
        <w:jc w:val="both"/>
        <w:rPr>
          <w:lang w:val="ru-RU"/>
        </w:rPr>
      </w:pPr>
      <w:r w:rsidRPr="00EC615C">
        <w:rPr>
          <w:lang w:val="sr-Cyrl-CS"/>
        </w:rPr>
        <w:tab/>
        <w:t xml:space="preserve">План уписа ученика у први разред средњих школа у АП Војводини, који наставу слушају на </w:t>
      </w:r>
      <w:r w:rsidRPr="00EC615C">
        <w:rPr>
          <w:b/>
          <w:u w:val="single"/>
          <w:lang w:val="sr-Cyrl-CS"/>
        </w:rPr>
        <w:t>словачком језику,</w:t>
      </w:r>
      <w:r w:rsidRPr="00EC615C">
        <w:rPr>
          <w:lang w:val="sr-Cyrl-CS"/>
        </w:rPr>
        <w:t xml:space="preserve"> реализован је са </w:t>
      </w:r>
      <w:r w:rsidR="00100A36">
        <w:rPr>
          <w:b/>
          <w:lang w:val="sr-Cyrl-CS"/>
        </w:rPr>
        <w:t>85</w:t>
      </w:r>
      <w:r w:rsidRPr="00EC615C">
        <w:rPr>
          <w:b/>
          <w:lang w:val="sr-Cyrl-CS"/>
        </w:rPr>
        <w:t>,</w:t>
      </w:r>
      <w:r w:rsidR="00100A36">
        <w:rPr>
          <w:b/>
          <w:lang w:val="sr-Cyrl-CS"/>
        </w:rPr>
        <w:t>83</w:t>
      </w:r>
      <w:r w:rsidRPr="00EC615C">
        <w:rPr>
          <w:b/>
          <w:bCs/>
          <w:lang w:val="sr-Cyrl-CS"/>
        </w:rPr>
        <w:t>%</w:t>
      </w:r>
      <w:r w:rsidRPr="00EC615C">
        <w:rPr>
          <w:lang w:val="sr-Cyrl-CS"/>
        </w:rPr>
        <w:t xml:space="preserve"> (1</w:t>
      </w:r>
      <w:r w:rsidR="00100A36">
        <w:rPr>
          <w:lang w:val="sr-Cyrl-CS"/>
        </w:rPr>
        <w:t>9</w:t>
      </w:r>
      <w:r w:rsidRPr="00EC615C">
        <w:rPr>
          <w:lang w:val="sr-Cyrl-CS"/>
        </w:rPr>
        <w:t>,</w:t>
      </w:r>
      <w:r w:rsidR="00100A36">
        <w:rPr>
          <w:lang w:val="sr-Cyrl-CS"/>
        </w:rPr>
        <w:t>16</w:t>
      </w:r>
      <w:r w:rsidRPr="00EC615C">
        <w:rPr>
          <w:lang w:val="sr-Cyrl-CS"/>
        </w:rPr>
        <w:t xml:space="preserve">% више), јер је на планираних </w:t>
      </w:r>
      <w:r w:rsidRPr="00EC615C">
        <w:rPr>
          <w:b/>
          <w:lang w:val="sr-Cyrl-CS"/>
        </w:rPr>
        <w:t>1</w:t>
      </w:r>
      <w:r w:rsidR="00100A36">
        <w:rPr>
          <w:b/>
          <w:lang w:val="sr-Cyrl-CS"/>
        </w:rPr>
        <w:t>2</w:t>
      </w:r>
      <w:r w:rsidRPr="00EC615C">
        <w:rPr>
          <w:b/>
          <w:lang w:val="sr-Cyrl-CS"/>
        </w:rPr>
        <w:t>0 места</w:t>
      </w:r>
      <w:r w:rsidRPr="00EC615C">
        <w:rPr>
          <w:lang w:val="sr-Cyrl-CS"/>
        </w:rPr>
        <w:t xml:space="preserve"> у </w:t>
      </w:r>
      <w:r w:rsidR="00100A36">
        <w:rPr>
          <w:lang w:val="sr-Cyrl-CS"/>
        </w:rPr>
        <w:t>четири</w:t>
      </w:r>
      <w:r w:rsidRPr="00EC615C">
        <w:rPr>
          <w:lang w:val="sr-Cyrl-CS"/>
        </w:rPr>
        <w:t xml:space="preserve"> одељења, уписано </w:t>
      </w:r>
      <w:r w:rsidRPr="00EC615C">
        <w:rPr>
          <w:b/>
          <w:lang w:val="sr-Cyrl-CS"/>
        </w:rPr>
        <w:t>10</w:t>
      </w:r>
      <w:r w:rsidR="00100A36">
        <w:rPr>
          <w:b/>
          <w:lang w:val="sr-Cyrl-CS"/>
        </w:rPr>
        <w:t>3</w:t>
      </w:r>
      <w:r w:rsidRPr="00EC615C">
        <w:rPr>
          <w:b/>
          <w:bCs/>
          <w:lang w:val="sr-Cyrl-CS"/>
        </w:rPr>
        <w:t xml:space="preserve"> ученика</w:t>
      </w:r>
      <w:r w:rsidRPr="00EC615C">
        <w:rPr>
          <w:lang w:val="sr-Cyrl-CS"/>
        </w:rPr>
        <w:t xml:space="preserve"> у четири одељења (табела 3.). Планирано је </w:t>
      </w:r>
      <w:r w:rsidR="00100A36">
        <w:rPr>
          <w:lang w:val="sr-Cyrl-CS"/>
        </w:rPr>
        <w:t>3</w:t>
      </w:r>
      <w:r w:rsidRPr="00EC615C">
        <w:rPr>
          <w:lang w:val="sr-Cyrl-CS"/>
        </w:rPr>
        <w:t xml:space="preserve">0 места мање него претходне школске године, док је </w:t>
      </w:r>
      <w:r w:rsidRPr="00EC615C">
        <w:rPr>
          <w:b/>
          <w:lang w:val="sr-Cyrl-CS"/>
        </w:rPr>
        <w:t>број уписаних ученика</w:t>
      </w:r>
      <w:r w:rsidRPr="00EC615C">
        <w:rPr>
          <w:lang w:val="sr-Cyrl-CS"/>
        </w:rPr>
        <w:t xml:space="preserve"> </w:t>
      </w:r>
      <w:r w:rsidR="00100A36">
        <w:rPr>
          <w:b/>
          <w:lang w:val="sr-Cyrl-CS"/>
        </w:rPr>
        <w:t>већи за 3</w:t>
      </w:r>
      <w:r w:rsidRPr="00EC615C">
        <w:rPr>
          <w:lang w:val="sr-Cyrl-CS"/>
        </w:rPr>
        <w:t>.</w:t>
      </w:r>
    </w:p>
    <w:p w:rsidR="00A968D5" w:rsidRPr="00EC615C" w:rsidRDefault="00A968D5" w:rsidP="00A968D5">
      <w:pPr>
        <w:jc w:val="both"/>
        <w:rPr>
          <w:lang w:val="ru-RU"/>
        </w:rPr>
      </w:pPr>
    </w:p>
    <w:p w:rsidR="00A968D5" w:rsidRPr="00EC615C" w:rsidRDefault="00A968D5" w:rsidP="00A968D5">
      <w:pPr>
        <w:jc w:val="both"/>
        <w:rPr>
          <w:lang w:val="ru-RU"/>
        </w:rPr>
      </w:pPr>
      <w:r w:rsidRPr="00EC615C">
        <w:rPr>
          <w:lang w:val="sr-Cyrl-CS"/>
        </w:rPr>
        <w:tab/>
      </w:r>
      <w:r w:rsidRPr="00100A36">
        <w:rPr>
          <w:bCs/>
          <w:lang w:val="sr-Cyrl-CS"/>
        </w:rPr>
        <w:t xml:space="preserve">У </w:t>
      </w:r>
      <w:r w:rsidRPr="00100A36">
        <w:rPr>
          <w:lang w:val="sr-Cyrl-CS"/>
        </w:rPr>
        <w:t>основним</w:t>
      </w:r>
      <w:r w:rsidR="00100A36">
        <w:rPr>
          <w:lang w:val="sr-Cyrl-CS"/>
        </w:rPr>
        <w:t xml:space="preserve"> школама, у школској 2013</w:t>
      </w:r>
      <w:r w:rsidRPr="00EC615C">
        <w:rPr>
          <w:lang w:val="sr-Cyrl-CS"/>
        </w:rPr>
        <w:t>/201</w:t>
      </w:r>
      <w:r w:rsidR="00100A36">
        <w:rPr>
          <w:lang w:val="sr-Cyrl-CS"/>
        </w:rPr>
        <w:t>4</w:t>
      </w:r>
      <w:r w:rsidRPr="00EC615C">
        <w:rPr>
          <w:lang w:val="sr-Cyrl-CS"/>
        </w:rPr>
        <w:t>. години, наставу на словачком језику похађало је</w:t>
      </w:r>
      <w:r w:rsidRPr="00EC615C">
        <w:rPr>
          <w:b/>
          <w:lang w:val="sr-Cyrl-CS"/>
        </w:rPr>
        <w:t xml:space="preserve"> 3</w:t>
      </w:r>
      <w:r w:rsidR="00100A36">
        <w:rPr>
          <w:b/>
          <w:lang w:val="sr-Cyrl-CS"/>
        </w:rPr>
        <w:t>43</w:t>
      </w:r>
      <w:r w:rsidRPr="00EC615C">
        <w:rPr>
          <w:b/>
          <w:bCs/>
          <w:lang w:val="sr-Cyrl-CS"/>
        </w:rPr>
        <w:t xml:space="preserve"> ученика</w:t>
      </w:r>
      <w:r w:rsidRPr="00EC615C">
        <w:rPr>
          <w:lang w:val="sr-Cyrl-CS"/>
        </w:rPr>
        <w:t xml:space="preserve"> осмог разреда (</w:t>
      </w:r>
      <w:r w:rsidR="00100A36">
        <w:rPr>
          <w:lang w:val="sr-Cyrl-CS"/>
        </w:rPr>
        <w:t>6</w:t>
      </w:r>
      <w:r w:rsidRPr="00EC615C">
        <w:rPr>
          <w:lang w:val="sr-Cyrl-CS"/>
        </w:rPr>
        <w:t xml:space="preserve"> ученика </w:t>
      </w:r>
      <w:r w:rsidR="00100A36">
        <w:rPr>
          <w:lang w:val="sr-Cyrl-CS"/>
        </w:rPr>
        <w:t>више</w:t>
      </w:r>
      <w:r w:rsidRPr="00EC615C">
        <w:rPr>
          <w:lang w:val="sr-Cyrl-CS"/>
        </w:rPr>
        <w:t xml:space="preserve"> него прошле школске године), од којих је </w:t>
      </w:r>
      <w:r w:rsidRPr="00EC615C">
        <w:rPr>
          <w:b/>
          <w:lang w:val="sr-Cyrl-CS"/>
        </w:rPr>
        <w:t>10</w:t>
      </w:r>
      <w:r w:rsidR="00100A36">
        <w:rPr>
          <w:b/>
          <w:lang w:val="sr-Cyrl-CS"/>
        </w:rPr>
        <w:t>3</w:t>
      </w:r>
      <w:r w:rsidRPr="00EC615C">
        <w:rPr>
          <w:b/>
          <w:bCs/>
          <w:lang w:val="sr-Cyrl-CS"/>
        </w:rPr>
        <w:t xml:space="preserve"> ученика</w:t>
      </w:r>
      <w:r w:rsidRPr="00EC615C">
        <w:rPr>
          <w:lang w:val="sr-Cyrl-CS"/>
        </w:rPr>
        <w:t xml:space="preserve"> или </w:t>
      </w:r>
      <w:r w:rsidR="00100A36">
        <w:rPr>
          <w:b/>
          <w:lang w:val="sr-Cyrl-CS"/>
        </w:rPr>
        <w:t>30</w:t>
      </w:r>
      <w:r w:rsidRPr="00EC615C">
        <w:rPr>
          <w:b/>
          <w:bCs/>
          <w:lang w:val="sr-Cyrl-CS"/>
        </w:rPr>
        <w:t>% наставило школовање на матерњем језику (</w:t>
      </w:r>
      <w:r w:rsidR="00100A36">
        <w:rPr>
          <w:b/>
          <w:bCs/>
          <w:lang w:val="sr-Cyrl-CS"/>
        </w:rPr>
        <w:t xml:space="preserve">као и претходне </w:t>
      </w:r>
      <w:r w:rsidRPr="00EC615C">
        <w:rPr>
          <w:b/>
          <w:bCs/>
          <w:lang w:val="sr-Cyrl-CS"/>
        </w:rPr>
        <w:t>школске године)</w:t>
      </w:r>
      <w:r w:rsidRPr="00EC615C">
        <w:rPr>
          <w:lang w:val="sr-Cyrl-CS"/>
        </w:rPr>
        <w:t>.</w:t>
      </w:r>
    </w:p>
    <w:p w:rsidR="00A968D5" w:rsidRPr="00933BBE" w:rsidRDefault="00A968D5" w:rsidP="00A968D5">
      <w:pPr>
        <w:jc w:val="both"/>
        <w:rPr>
          <w:lang w:val="ru-RU"/>
        </w:rPr>
      </w:pPr>
    </w:p>
    <w:p w:rsidR="00A968D5" w:rsidRPr="00933BBE" w:rsidRDefault="00A968D5" w:rsidP="00A968D5">
      <w:pPr>
        <w:jc w:val="both"/>
        <w:rPr>
          <w:lang w:val="ru-RU"/>
        </w:rPr>
      </w:pPr>
      <w:r w:rsidRPr="00933BBE">
        <w:rPr>
          <w:lang w:val="sr-Cyrl-CS"/>
        </w:rPr>
        <w:tab/>
        <w:t>План уписа ученика у први разред средњих школа у АП Војводини</w:t>
      </w:r>
      <w:r>
        <w:rPr>
          <w:lang w:val="sr-Cyrl-CS"/>
        </w:rPr>
        <w:t>,</w:t>
      </w:r>
      <w:r w:rsidRPr="00933BBE">
        <w:rPr>
          <w:lang w:val="sr-Cyrl-CS"/>
        </w:rPr>
        <w:t xml:space="preserve"> који </w:t>
      </w:r>
      <w:r>
        <w:rPr>
          <w:lang w:val="sr-Cyrl-CS"/>
        </w:rPr>
        <w:t>похађају</w:t>
      </w:r>
      <w:r w:rsidRPr="00933BBE">
        <w:rPr>
          <w:lang w:val="sr-Cyrl-CS"/>
        </w:rPr>
        <w:t xml:space="preserve"> настав</w:t>
      </w:r>
      <w:r>
        <w:rPr>
          <w:lang w:val="sr-Cyrl-CS"/>
        </w:rPr>
        <w:t>у</w:t>
      </w:r>
      <w:r w:rsidRPr="00933BBE">
        <w:rPr>
          <w:lang w:val="sr-Cyrl-CS"/>
        </w:rPr>
        <w:t xml:space="preserve"> на </w:t>
      </w:r>
      <w:r w:rsidRPr="00933BBE">
        <w:rPr>
          <w:b/>
          <w:u w:val="single"/>
          <w:lang w:val="sr-Cyrl-CS"/>
        </w:rPr>
        <w:t>румунском језику</w:t>
      </w:r>
      <w:r>
        <w:rPr>
          <w:b/>
          <w:u w:val="single"/>
          <w:lang w:val="sr-Cyrl-CS"/>
        </w:rPr>
        <w:t>,</w:t>
      </w:r>
      <w:r w:rsidRPr="00933BBE">
        <w:rPr>
          <w:b/>
          <w:lang w:val="sr-Cyrl-CS"/>
        </w:rPr>
        <w:t xml:space="preserve"> </w:t>
      </w:r>
      <w:r w:rsidRPr="00933BBE">
        <w:rPr>
          <w:lang w:val="sr-Cyrl-CS"/>
        </w:rPr>
        <w:t xml:space="preserve">реализован </w:t>
      </w:r>
      <w:r w:rsidRPr="00933BBE">
        <w:rPr>
          <w:bCs/>
          <w:lang w:val="sr-Cyrl-CS"/>
        </w:rPr>
        <w:t>је</w:t>
      </w:r>
      <w:r w:rsidRPr="00933BBE">
        <w:rPr>
          <w:lang w:val="sr-Cyrl-CS"/>
        </w:rPr>
        <w:t xml:space="preserve"> са </w:t>
      </w:r>
      <w:r w:rsidR="00D74CFE">
        <w:rPr>
          <w:b/>
          <w:bCs/>
          <w:lang w:val="sr-Cyrl-CS"/>
        </w:rPr>
        <w:t>95</w:t>
      </w:r>
      <w:r>
        <w:rPr>
          <w:bCs/>
          <w:lang w:val="sr-Cyrl-CS"/>
        </w:rPr>
        <w:t>%,</w:t>
      </w:r>
      <w:r w:rsidRPr="00933BBE">
        <w:rPr>
          <w:bCs/>
          <w:lang w:val="sr-Cyrl-CS"/>
        </w:rPr>
        <w:t xml:space="preserve"> што је за </w:t>
      </w:r>
      <w:r w:rsidR="00D74CFE">
        <w:rPr>
          <w:b/>
          <w:bCs/>
          <w:lang w:val="sr-Cyrl-CS"/>
        </w:rPr>
        <w:t>13,33</w:t>
      </w:r>
      <w:r>
        <w:rPr>
          <w:b/>
          <w:bCs/>
          <w:lang w:val="sr-Cyrl-CS"/>
        </w:rPr>
        <w:t>%</w:t>
      </w:r>
      <w:r w:rsidRPr="00933BBE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више</w:t>
      </w:r>
      <w:r w:rsidRPr="00933BBE">
        <w:rPr>
          <w:bCs/>
          <w:lang w:val="sr-Cyrl-CS"/>
        </w:rPr>
        <w:t xml:space="preserve"> у односу на претходну школску годину, јер је</w:t>
      </w:r>
      <w:r w:rsidRPr="00933BBE">
        <w:rPr>
          <w:b/>
          <w:bCs/>
          <w:lang w:val="sr-Cyrl-CS"/>
        </w:rPr>
        <w:t xml:space="preserve"> </w:t>
      </w:r>
      <w:r w:rsidRPr="00933BBE">
        <w:rPr>
          <w:bCs/>
          <w:lang w:val="sr-Cyrl-CS"/>
        </w:rPr>
        <w:t>на</w:t>
      </w:r>
      <w:r w:rsidRPr="00933BBE">
        <w:rPr>
          <w:lang w:val="sr-Cyrl-CS"/>
        </w:rPr>
        <w:t xml:space="preserve"> </w:t>
      </w:r>
      <w:r w:rsidRPr="00933BBE">
        <w:rPr>
          <w:b/>
          <w:lang w:val="sr-Cyrl-CS"/>
        </w:rPr>
        <w:t>60 места</w:t>
      </w:r>
      <w:r w:rsidRPr="00933BBE">
        <w:rPr>
          <w:lang w:val="sr-Cyrl-CS"/>
        </w:rPr>
        <w:t xml:space="preserve"> уписано </w:t>
      </w:r>
      <w:r w:rsidR="00D74CFE">
        <w:rPr>
          <w:b/>
          <w:lang w:val="sr-Cyrl-CS"/>
        </w:rPr>
        <w:t>57</w:t>
      </w:r>
      <w:r w:rsidRPr="005D5771">
        <w:rPr>
          <w:b/>
          <w:bCs/>
          <w:lang w:val="sr-Cyrl-CS"/>
        </w:rPr>
        <w:t xml:space="preserve"> </w:t>
      </w:r>
      <w:r w:rsidRPr="00933BBE">
        <w:rPr>
          <w:b/>
          <w:bCs/>
          <w:lang w:val="sr-Cyrl-CS"/>
        </w:rPr>
        <w:t>ученика</w:t>
      </w:r>
      <w:r w:rsidRPr="00933BBE">
        <w:rPr>
          <w:lang w:val="sr-Cyrl-CS"/>
        </w:rPr>
        <w:t xml:space="preserve"> или </w:t>
      </w:r>
      <w:r w:rsidR="00D74CFE">
        <w:rPr>
          <w:b/>
          <w:lang w:val="sr-Cyrl-CS"/>
        </w:rPr>
        <w:t>8</w:t>
      </w:r>
      <w:r w:rsidRPr="00011AD6">
        <w:rPr>
          <w:b/>
          <w:lang w:val="sr-Cyrl-CS"/>
        </w:rPr>
        <w:t xml:space="preserve"> ученика </w:t>
      </w:r>
      <w:r>
        <w:rPr>
          <w:b/>
          <w:lang w:val="sr-Cyrl-CS"/>
        </w:rPr>
        <w:t>више</w:t>
      </w:r>
      <w:r w:rsidRPr="00933BBE">
        <w:rPr>
          <w:lang w:val="sr-Cyrl-CS"/>
        </w:rPr>
        <w:t xml:space="preserve"> него прошле школске године (табела 4.). Просечан број ученика у одељењу је </w:t>
      </w:r>
      <w:r>
        <w:rPr>
          <w:bCs/>
          <w:lang w:val="sr-Cyrl-CS"/>
        </w:rPr>
        <w:t>око</w:t>
      </w:r>
      <w:r w:rsidRPr="00933BBE">
        <w:rPr>
          <w:bCs/>
          <w:lang w:val="sr-Cyrl-CS"/>
        </w:rPr>
        <w:t xml:space="preserve"> </w:t>
      </w:r>
      <w:r>
        <w:rPr>
          <w:b/>
          <w:bCs/>
          <w:lang w:val="sr-Cyrl-CS"/>
        </w:rPr>
        <w:t>2</w:t>
      </w:r>
      <w:r w:rsidR="00D74CFE">
        <w:rPr>
          <w:b/>
          <w:bCs/>
          <w:lang w:val="sr-Cyrl-CS"/>
        </w:rPr>
        <w:t>9</w:t>
      </w:r>
      <w:r w:rsidRPr="00933BBE">
        <w:rPr>
          <w:bCs/>
          <w:lang w:val="sr-Cyrl-CS"/>
        </w:rPr>
        <w:t>.</w:t>
      </w:r>
    </w:p>
    <w:p w:rsidR="00A968D5" w:rsidRPr="00933BBE" w:rsidRDefault="00A968D5" w:rsidP="00A968D5">
      <w:pPr>
        <w:jc w:val="both"/>
        <w:rPr>
          <w:lang w:val="ru-RU"/>
        </w:rPr>
      </w:pPr>
    </w:p>
    <w:p w:rsidR="00A968D5" w:rsidRPr="00933BBE" w:rsidRDefault="00A968D5" w:rsidP="00A968D5">
      <w:pPr>
        <w:jc w:val="both"/>
        <w:rPr>
          <w:lang w:val="ru-RU"/>
        </w:rPr>
      </w:pPr>
      <w:r w:rsidRPr="00933BBE">
        <w:rPr>
          <w:lang w:val="sr-Cyrl-CS"/>
        </w:rPr>
        <w:tab/>
      </w:r>
      <w:r w:rsidRPr="00B22E84">
        <w:rPr>
          <w:bCs/>
          <w:lang w:val="sr-Cyrl-CS"/>
        </w:rPr>
        <w:t>У</w:t>
      </w:r>
      <w:r w:rsidRPr="00933BBE">
        <w:rPr>
          <w:b/>
          <w:bCs/>
          <w:lang w:val="sr-Cyrl-CS"/>
        </w:rPr>
        <w:t xml:space="preserve"> </w:t>
      </w:r>
      <w:r w:rsidRPr="00933BBE">
        <w:rPr>
          <w:lang w:val="sr-Cyrl-CS"/>
        </w:rPr>
        <w:t>основни</w:t>
      </w:r>
      <w:r>
        <w:rPr>
          <w:lang w:val="sr-Cyrl-CS"/>
        </w:rPr>
        <w:t>м</w:t>
      </w:r>
      <w:r w:rsidRPr="00933BBE">
        <w:rPr>
          <w:lang w:val="sr-Cyrl-CS"/>
        </w:rPr>
        <w:t xml:space="preserve"> школа</w:t>
      </w:r>
      <w:r>
        <w:rPr>
          <w:lang w:val="sr-Cyrl-CS"/>
        </w:rPr>
        <w:t>ма,</w:t>
      </w:r>
      <w:r w:rsidRPr="00933BBE">
        <w:rPr>
          <w:lang w:val="sr-Cyrl-CS"/>
        </w:rPr>
        <w:t xml:space="preserve"> у школској 20</w:t>
      </w:r>
      <w:r>
        <w:rPr>
          <w:lang w:val="sr-Cyrl-CS"/>
        </w:rPr>
        <w:t>1</w:t>
      </w:r>
      <w:r w:rsidR="00D74CFE">
        <w:rPr>
          <w:lang w:val="sr-Cyrl-CS"/>
        </w:rPr>
        <w:t>3</w:t>
      </w:r>
      <w:r w:rsidRPr="00933BBE">
        <w:rPr>
          <w:lang w:val="sr-Cyrl-CS"/>
        </w:rPr>
        <w:t>/201</w:t>
      </w:r>
      <w:r w:rsidR="00D74CFE">
        <w:rPr>
          <w:lang w:val="sr-Cyrl-CS"/>
        </w:rPr>
        <w:t>4</w:t>
      </w:r>
      <w:r w:rsidRPr="00933BBE">
        <w:rPr>
          <w:lang w:val="sr-Cyrl-CS"/>
        </w:rPr>
        <w:t>. години</w:t>
      </w:r>
      <w:r>
        <w:rPr>
          <w:lang w:val="sr-Cyrl-CS"/>
        </w:rPr>
        <w:t>,</w:t>
      </w:r>
      <w:r w:rsidRPr="00933BBE">
        <w:rPr>
          <w:lang w:val="sr-Cyrl-CS"/>
        </w:rPr>
        <w:t xml:space="preserve"> наставу на румунском језику похађа</w:t>
      </w:r>
      <w:r w:rsidR="00D74CFE">
        <w:rPr>
          <w:lang w:val="sr-Cyrl-CS"/>
        </w:rPr>
        <w:t>л</w:t>
      </w:r>
      <w:r w:rsidRPr="00933BBE">
        <w:rPr>
          <w:lang w:val="sr-Cyrl-CS"/>
        </w:rPr>
        <w:t>о је</w:t>
      </w:r>
      <w:r>
        <w:rPr>
          <w:b/>
          <w:bCs/>
          <w:lang w:val="sr-Cyrl-CS"/>
        </w:rPr>
        <w:t xml:space="preserve"> 1</w:t>
      </w:r>
      <w:r w:rsidR="00D74CFE">
        <w:rPr>
          <w:b/>
          <w:bCs/>
          <w:lang w:val="sr-Cyrl-CS"/>
        </w:rPr>
        <w:t>55</w:t>
      </w:r>
      <w:r w:rsidRPr="00933BBE">
        <w:rPr>
          <w:b/>
          <w:bCs/>
          <w:lang w:val="sr-Cyrl-CS"/>
        </w:rPr>
        <w:t xml:space="preserve"> ученик</w:t>
      </w:r>
      <w:r w:rsidR="00D74CFE">
        <w:rPr>
          <w:b/>
          <w:bCs/>
          <w:lang w:val="sr-Cyrl-CS"/>
        </w:rPr>
        <w:t>а</w:t>
      </w:r>
      <w:r w:rsidRPr="00933BBE">
        <w:rPr>
          <w:lang w:val="sr-Cyrl-CS"/>
        </w:rPr>
        <w:t xml:space="preserve"> </w:t>
      </w:r>
      <w:r>
        <w:rPr>
          <w:b/>
          <w:bCs/>
          <w:lang w:val="sr-Cyrl-CS"/>
        </w:rPr>
        <w:t>осмог</w:t>
      </w:r>
      <w:r w:rsidRPr="00933BBE">
        <w:rPr>
          <w:b/>
          <w:bCs/>
          <w:lang w:val="sr-Cyrl-CS"/>
        </w:rPr>
        <w:t xml:space="preserve"> разред</w:t>
      </w:r>
      <w:r>
        <w:rPr>
          <w:b/>
          <w:bCs/>
          <w:lang w:val="sr-Cyrl-CS"/>
        </w:rPr>
        <w:t>а</w:t>
      </w:r>
      <w:r w:rsidRPr="00933BBE">
        <w:rPr>
          <w:lang w:val="sr-Cyrl-CS"/>
        </w:rPr>
        <w:t xml:space="preserve"> (</w:t>
      </w:r>
      <w:r w:rsidR="00D74CFE">
        <w:rPr>
          <w:lang w:val="sr-Cyrl-CS"/>
        </w:rPr>
        <w:t>24</w:t>
      </w:r>
      <w:r w:rsidRPr="00933BBE">
        <w:rPr>
          <w:lang w:val="sr-Cyrl-CS"/>
        </w:rPr>
        <w:t xml:space="preserve"> ученика </w:t>
      </w:r>
      <w:r w:rsidR="00D74CFE">
        <w:rPr>
          <w:lang w:val="sr-Cyrl-CS"/>
        </w:rPr>
        <w:t>више</w:t>
      </w:r>
      <w:r w:rsidRPr="00933BBE">
        <w:rPr>
          <w:lang w:val="sr-Cyrl-CS"/>
        </w:rPr>
        <w:t xml:space="preserve"> него претходне школске године), од којих је </w:t>
      </w:r>
      <w:r w:rsidR="00D74CFE">
        <w:rPr>
          <w:b/>
          <w:bCs/>
          <w:lang w:val="sr-Cyrl-CS"/>
        </w:rPr>
        <w:t>57</w:t>
      </w:r>
      <w:r w:rsidRPr="00933BBE">
        <w:rPr>
          <w:b/>
          <w:bCs/>
          <w:lang w:val="sr-Cyrl-CS"/>
        </w:rPr>
        <w:t xml:space="preserve"> ученика</w:t>
      </w:r>
      <w:r w:rsidRPr="00933BBE">
        <w:rPr>
          <w:lang w:val="sr-Cyrl-CS"/>
        </w:rPr>
        <w:t xml:space="preserve"> или </w:t>
      </w:r>
      <w:r>
        <w:rPr>
          <w:b/>
          <w:lang w:val="sr-Cyrl-CS"/>
        </w:rPr>
        <w:t>3</w:t>
      </w:r>
      <w:r w:rsidR="00D74CFE">
        <w:rPr>
          <w:b/>
          <w:lang w:val="sr-Cyrl-CS"/>
        </w:rPr>
        <w:t>6</w:t>
      </w:r>
      <w:r w:rsidRPr="00933BBE">
        <w:rPr>
          <w:b/>
          <w:bCs/>
          <w:lang w:val="sr-Cyrl-CS"/>
        </w:rPr>
        <w:t>,</w:t>
      </w:r>
      <w:r w:rsidR="00D74CFE">
        <w:rPr>
          <w:b/>
          <w:bCs/>
          <w:lang w:val="sr-Cyrl-CS"/>
        </w:rPr>
        <w:t>77</w:t>
      </w:r>
      <w:r w:rsidRPr="00933BBE">
        <w:rPr>
          <w:b/>
          <w:bCs/>
          <w:lang w:val="sr-Cyrl-CS"/>
        </w:rPr>
        <w:t>% наставило школовање на матерњем језику</w:t>
      </w:r>
      <w:r w:rsidR="00712EBA">
        <w:rPr>
          <w:b/>
          <w:bCs/>
          <w:lang w:val="sr-Cyrl-CS"/>
        </w:rPr>
        <w:t xml:space="preserve">. </w:t>
      </w:r>
      <w:r w:rsidR="00712EBA">
        <w:rPr>
          <w:bCs/>
          <w:lang w:val="sr-Cyrl-CS"/>
        </w:rPr>
        <w:t>Изражено у процентима,</w:t>
      </w:r>
      <w:r w:rsidR="00D74CFE">
        <w:rPr>
          <w:b/>
          <w:lang w:val="sr-Cyrl-CS"/>
        </w:rPr>
        <w:t>0</w:t>
      </w:r>
      <w:r>
        <w:rPr>
          <w:b/>
          <w:lang w:val="sr-Cyrl-CS"/>
        </w:rPr>
        <w:t>,</w:t>
      </w:r>
      <w:r w:rsidR="00D74CFE">
        <w:rPr>
          <w:b/>
          <w:lang w:val="sr-Cyrl-CS"/>
        </w:rPr>
        <w:t>63</w:t>
      </w:r>
      <w:r w:rsidRPr="00933BBE">
        <w:rPr>
          <w:b/>
          <w:bCs/>
          <w:lang w:val="sr-Cyrl-CS"/>
        </w:rPr>
        <w:t xml:space="preserve">% </w:t>
      </w:r>
      <w:r w:rsidR="00D74CFE">
        <w:rPr>
          <w:b/>
          <w:bCs/>
          <w:lang w:val="sr-Cyrl-CS"/>
        </w:rPr>
        <w:t>мање</w:t>
      </w:r>
      <w:r w:rsidRPr="00933BBE">
        <w:rPr>
          <w:lang w:val="sr-Cyrl-CS"/>
        </w:rPr>
        <w:t xml:space="preserve"> </w:t>
      </w:r>
      <w:r w:rsidR="00712EBA">
        <w:rPr>
          <w:lang w:val="sr-Cyrl-CS"/>
        </w:rPr>
        <w:t xml:space="preserve">ученика </w:t>
      </w:r>
      <w:r w:rsidRPr="00933BBE">
        <w:rPr>
          <w:lang w:val="sr-Cyrl-CS"/>
        </w:rPr>
        <w:t>него прошле школске године</w:t>
      </w:r>
      <w:r w:rsidR="00712EBA">
        <w:rPr>
          <w:lang w:val="sr-Cyrl-CS"/>
        </w:rPr>
        <w:t xml:space="preserve"> је наставило школовање на матерњем језику</w:t>
      </w:r>
      <w:r w:rsidRPr="00933BBE">
        <w:rPr>
          <w:lang w:val="sr-Cyrl-CS"/>
        </w:rPr>
        <w:t>.</w:t>
      </w:r>
    </w:p>
    <w:p w:rsidR="00A968D5" w:rsidRPr="00933BBE" w:rsidRDefault="00A968D5" w:rsidP="00A968D5">
      <w:pPr>
        <w:jc w:val="both"/>
        <w:rPr>
          <w:lang w:val="ru-RU"/>
        </w:rPr>
      </w:pPr>
    </w:p>
    <w:p w:rsidR="00A968D5" w:rsidRPr="00933BBE" w:rsidRDefault="00A968D5" w:rsidP="00A968D5">
      <w:pPr>
        <w:jc w:val="both"/>
        <w:rPr>
          <w:lang w:val="sr-Cyrl-CS"/>
        </w:rPr>
      </w:pPr>
      <w:r w:rsidRPr="00933BBE">
        <w:rPr>
          <w:lang w:val="sr-Cyrl-CS"/>
        </w:rPr>
        <w:lastRenderedPageBreak/>
        <w:tab/>
        <w:t>План уписа ученика у први разред средњих школа у АП Војводини</w:t>
      </w:r>
      <w:r>
        <w:rPr>
          <w:lang w:val="sr-Cyrl-CS"/>
        </w:rPr>
        <w:t>,</w:t>
      </w:r>
      <w:r w:rsidRPr="00933BBE">
        <w:rPr>
          <w:lang w:val="sr-Cyrl-CS"/>
        </w:rPr>
        <w:t xml:space="preserve"> који</w:t>
      </w:r>
      <w:r>
        <w:rPr>
          <w:lang w:val="sr-Cyrl-CS"/>
        </w:rPr>
        <w:t xml:space="preserve"> похађају</w:t>
      </w:r>
      <w:r w:rsidRPr="00933BBE">
        <w:rPr>
          <w:lang w:val="sr-Cyrl-CS"/>
        </w:rPr>
        <w:t xml:space="preserve"> настав</w:t>
      </w:r>
      <w:r>
        <w:rPr>
          <w:lang w:val="sr-Cyrl-CS"/>
        </w:rPr>
        <w:t>у</w:t>
      </w:r>
      <w:r w:rsidRPr="00933BBE">
        <w:rPr>
          <w:lang w:val="sr-Cyrl-CS"/>
        </w:rPr>
        <w:t xml:space="preserve"> на </w:t>
      </w:r>
      <w:r w:rsidRPr="00933BBE">
        <w:rPr>
          <w:b/>
          <w:u w:val="single"/>
          <w:lang w:val="sr-Cyrl-CS"/>
        </w:rPr>
        <w:t>русинском језику</w:t>
      </w:r>
      <w:r>
        <w:rPr>
          <w:b/>
          <w:u w:val="single"/>
          <w:lang w:val="sr-Cyrl-CS"/>
        </w:rPr>
        <w:t>,</w:t>
      </w:r>
      <w:r w:rsidRPr="00933BBE">
        <w:rPr>
          <w:lang w:val="sr-Cyrl-CS"/>
        </w:rPr>
        <w:t xml:space="preserve"> реализован је са </w:t>
      </w:r>
      <w:r w:rsidR="00474E40">
        <w:rPr>
          <w:b/>
          <w:lang w:val="sr-Cyrl-CS"/>
        </w:rPr>
        <w:t>43</w:t>
      </w:r>
      <w:r>
        <w:rPr>
          <w:b/>
          <w:lang w:val="sr-Cyrl-CS"/>
        </w:rPr>
        <w:t>,</w:t>
      </w:r>
      <w:r w:rsidR="00474E40">
        <w:rPr>
          <w:b/>
          <w:lang w:val="sr-Cyrl-CS"/>
        </w:rPr>
        <w:t>33</w:t>
      </w:r>
      <w:r w:rsidRPr="005D3860">
        <w:rPr>
          <w:b/>
          <w:bCs/>
          <w:lang w:val="sr-Cyrl-CS"/>
        </w:rPr>
        <w:t>%</w:t>
      </w:r>
      <w:r w:rsidRPr="00933BBE">
        <w:rPr>
          <w:lang w:val="sr-Cyrl-CS"/>
        </w:rPr>
        <w:t xml:space="preserve">, што је за </w:t>
      </w:r>
      <w:r w:rsidR="00474E40">
        <w:rPr>
          <w:b/>
          <w:lang w:val="sr-Cyrl-CS"/>
        </w:rPr>
        <w:t>6,66</w:t>
      </w:r>
      <w:r w:rsidRPr="00933BBE">
        <w:rPr>
          <w:b/>
          <w:bCs/>
          <w:lang w:val="sr-Cyrl-CS"/>
        </w:rPr>
        <w:t xml:space="preserve">% </w:t>
      </w:r>
      <w:r w:rsidR="00474E40">
        <w:rPr>
          <w:b/>
          <w:bCs/>
          <w:lang w:val="sr-Cyrl-CS"/>
        </w:rPr>
        <w:t>више</w:t>
      </w:r>
      <w:r w:rsidRPr="00933BBE">
        <w:rPr>
          <w:lang w:val="sr-Cyrl-CS"/>
        </w:rPr>
        <w:t xml:space="preserve"> </w:t>
      </w:r>
      <w:r>
        <w:rPr>
          <w:lang w:val="sr-Cyrl-CS"/>
        </w:rPr>
        <w:t>него</w:t>
      </w:r>
      <w:r w:rsidRPr="00933BBE">
        <w:rPr>
          <w:lang w:val="sr-Cyrl-CS"/>
        </w:rPr>
        <w:t xml:space="preserve"> претходн</w:t>
      </w:r>
      <w:r>
        <w:rPr>
          <w:lang w:val="sr-Cyrl-CS"/>
        </w:rPr>
        <w:t>е</w:t>
      </w:r>
      <w:r w:rsidRPr="00933BBE">
        <w:rPr>
          <w:lang w:val="sr-Cyrl-CS"/>
        </w:rPr>
        <w:t xml:space="preserve"> школск</w:t>
      </w:r>
      <w:r>
        <w:rPr>
          <w:lang w:val="sr-Cyrl-CS"/>
        </w:rPr>
        <w:t>е</w:t>
      </w:r>
      <w:r w:rsidRPr="00933BBE">
        <w:rPr>
          <w:lang w:val="sr-Cyrl-CS"/>
        </w:rPr>
        <w:t xml:space="preserve"> годин</w:t>
      </w:r>
      <w:r>
        <w:rPr>
          <w:lang w:val="sr-Cyrl-CS"/>
        </w:rPr>
        <w:t>е</w:t>
      </w:r>
      <w:r w:rsidRPr="00933BBE">
        <w:rPr>
          <w:lang w:val="sr-Cyrl-CS"/>
        </w:rPr>
        <w:t xml:space="preserve">, јер је на планираних </w:t>
      </w:r>
      <w:r w:rsidRPr="00933BBE">
        <w:rPr>
          <w:b/>
          <w:lang w:val="sr-Cyrl-CS"/>
        </w:rPr>
        <w:t>30 места</w:t>
      </w:r>
      <w:r w:rsidRPr="00933BBE">
        <w:rPr>
          <w:lang w:val="sr-Cyrl-CS"/>
        </w:rPr>
        <w:t xml:space="preserve"> уписано </w:t>
      </w:r>
      <w:r w:rsidRPr="00933BBE">
        <w:rPr>
          <w:b/>
          <w:lang w:val="sr-Cyrl-CS"/>
        </w:rPr>
        <w:t>1</w:t>
      </w:r>
      <w:r w:rsidR="00474E40">
        <w:rPr>
          <w:b/>
          <w:lang w:val="sr-Cyrl-CS"/>
        </w:rPr>
        <w:t>3</w:t>
      </w:r>
      <w:r w:rsidRPr="00933BBE">
        <w:rPr>
          <w:b/>
          <w:bCs/>
          <w:lang w:val="sr-Cyrl-CS"/>
        </w:rPr>
        <w:t xml:space="preserve"> ученика</w:t>
      </w:r>
      <w:r w:rsidRPr="00933BBE">
        <w:rPr>
          <w:lang w:val="sr-Cyrl-CS"/>
        </w:rPr>
        <w:t xml:space="preserve"> (табела 5.). У односу на прошлу школску годину</w:t>
      </w:r>
      <w:r>
        <w:rPr>
          <w:lang w:val="sr-Cyrl-CS"/>
        </w:rPr>
        <w:t>,</w:t>
      </w:r>
      <w:r w:rsidRPr="00933BBE">
        <w:rPr>
          <w:lang w:val="sr-Cyrl-CS"/>
        </w:rPr>
        <w:t xml:space="preserve"> </w:t>
      </w:r>
      <w:r w:rsidRPr="00933BBE">
        <w:rPr>
          <w:b/>
          <w:bCs/>
          <w:lang w:val="sr-Cyrl-CS"/>
        </w:rPr>
        <w:t xml:space="preserve">број уписаних ученика </w:t>
      </w:r>
      <w:r w:rsidR="00474E40">
        <w:rPr>
          <w:b/>
          <w:bCs/>
          <w:lang w:val="sr-Cyrl-CS"/>
        </w:rPr>
        <w:t>већи</w:t>
      </w:r>
      <w:r w:rsidRPr="00933BBE">
        <w:rPr>
          <w:b/>
          <w:bCs/>
          <w:lang w:val="sr-Cyrl-CS"/>
        </w:rPr>
        <w:t xml:space="preserve"> </w:t>
      </w:r>
      <w:r w:rsidRPr="00933BBE">
        <w:rPr>
          <w:lang w:val="sr-Cyrl-CS"/>
        </w:rPr>
        <w:t>је</w:t>
      </w:r>
      <w:r w:rsidRPr="00933BBE">
        <w:rPr>
          <w:b/>
          <w:bCs/>
          <w:lang w:val="sr-Cyrl-CS"/>
        </w:rPr>
        <w:t xml:space="preserve"> за </w:t>
      </w:r>
      <w:r w:rsidR="00474E40">
        <w:rPr>
          <w:b/>
          <w:bCs/>
          <w:lang w:val="sr-Cyrl-CS"/>
        </w:rPr>
        <w:t>два</w:t>
      </w:r>
      <w:r>
        <w:rPr>
          <w:b/>
          <w:bCs/>
          <w:lang w:val="sr-Cyrl-CS"/>
        </w:rPr>
        <w:t>.</w:t>
      </w:r>
      <w:r w:rsidRPr="00933BBE">
        <w:rPr>
          <w:lang w:val="sr-Cyrl-CS"/>
        </w:rPr>
        <w:t xml:space="preserve"> </w:t>
      </w:r>
    </w:p>
    <w:p w:rsidR="00A968D5" w:rsidRPr="00933BBE" w:rsidRDefault="00A968D5" w:rsidP="00A968D5">
      <w:pPr>
        <w:jc w:val="both"/>
        <w:rPr>
          <w:lang w:val="ru-RU"/>
        </w:rPr>
      </w:pPr>
    </w:p>
    <w:p w:rsidR="00A968D5" w:rsidRPr="00933BBE" w:rsidRDefault="00A968D5" w:rsidP="00A968D5">
      <w:pPr>
        <w:pStyle w:val="BodyText"/>
      </w:pPr>
      <w:r w:rsidRPr="00933BBE">
        <w:tab/>
      </w:r>
      <w:r w:rsidRPr="00B22E84">
        <w:rPr>
          <w:bCs/>
        </w:rPr>
        <w:t>У</w:t>
      </w:r>
      <w:r w:rsidRPr="00933BBE">
        <w:rPr>
          <w:b/>
          <w:bCs/>
        </w:rPr>
        <w:t xml:space="preserve"> </w:t>
      </w:r>
      <w:r w:rsidRPr="00933BBE">
        <w:t>основни</w:t>
      </w:r>
      <w:r>
        <w:t>м</w:t>
      </w:r>
      <w:r w:rsidRPr="00933BBE">
        <w:t xml:space="preserve"> школа</w:t>
      </w:r>
      <w:r>
        <w:t>ма,</w:t>
      </w:r>
      <w:r w:rsidRPr="00933BBE">
        <w:t xml:space="preserve"> у школској 20</w:t>
      </w:r>
      <w:r>
        <w:t>1</w:t>
      </w:r>
      <w:r w:rsidR="00474E40">
        <w:rPr>
          <w:lang w:val="sr-Cyrl-RS"/>
        </w:rPr>
        <w:t>3</w:t>
      </w:r>
      <w:r w:rsidRPr="00933BBE">
        <w:t>/201</w:t>
      </w:r>
      <w:r w:rsidR="00474E40">
        <w:rPr>
          <w:lang w:val="sr-Cyrl-RS"/>
        </w:rPr>
        <w:t>4</w:t>
      </w:r>
      <w:r w:rsidRPr="00933BBE">
        <w:t>. години</w:t>
      </w:r>
      <w:r>
        <w:t>,</w:t>
      </w:r>
      <w:r w:rsidRPr="00933BBE">
        <w:t xml:space="preserve"> наставу на русинском језику похађал</w:t>
      </w:r>
      <w:r w:rsidR="00474E40">
        <w:rPr>
          <w:lang w:val="sr-Cyrl-RS"/>
        </w:rPr>
        <w:t>а су</w:t>
      </w:r>
      <w:r w:rsidRPr="00933BBE">
        <w:t xml:space="preserve"> </w:t>
      </w:r>
      <w:r w:rsidR="00474E40">
        <w:rPr>
          <w:b/>
          <w:lang w:val="sr-Cyrl-RS"/>
        </w:rPr>
        <w:t>56</w:t>
      </w:r>
      <w:r w:rsidRPr="00933BBE">
        <w:rPr>
          <w:b/>
          <w:bCs/>
        </w:rPr>
        <w:t xml:space="preserve"> ученика</w:t>
      </w:r>
      <w:r w:rsidRPr="00933BBE">
        <w:t xml:space="preserve"> </w:t>
      </w:r>
      <w:r>
        <w:rPr>
          <w:b/>
          <w:bCs/>
        </w:rPr>
        <w:t>осмог</w:t>
      </w:r>
      <w:r w:rsidRPr="00933BBE">
        <w:rPr>
          <w:b/>
          <w:bCs/>
        </w:rPr>
        <w:t xml:space="preserve"> разред</w:t>
      </w:r>
      <w:r>
        <w:rPr>
          <w:b/>
          <w:bCs/>
        </w:rPr>
        <w:t>а</w:t>
      </w:r>
      <w:r w:rsidRPr="00933BBE">
        <w:t xml:space="preserve"> (</w:t>
      </w:r>
      <w:r>
        <w:rPr>
          <w:lang w:val="sr-Cyrl-RS"/>
        </w:rPr>
        <w:t>шест</w:t>
      </w:r>
      <w:r w:rsidRPr="00933BBE">
        <w:t xml:space="preserve"> ученика </w:t>
      </w:r>
      <w:r>
        <w:rPr>
          <w:lang w:val="sr-Cyrl-RS"/>
        </w:rPr>
        <w:t>мање</w:t>
      </w:r>
      <w:r w:rsidRPr="00933BBE">
        <w:t xml:space="preserve"> него претходне школске године), од којих је </w:t>
      </w:r>
      <w:r w:rsidRPr="00933BBE">
        <w:rPr>
          <w:b/>
        </w:rPr>
        <w:t>1</w:t>
      </w:r>
      <w:r w:rsidR="00474E40">
        <w:rPr>
          <w:b/>
          <w:lang w:val="sr-Cyrl-RS"/>
        </w:rPr>
        <w:t>3</w:t>
      </w:r>
      <w:r w:rsidRPr="00933BBE">
        <w:rPr>
          <w:b/>
          <w:bCs/>
        </w:rPr>
        <w:t xml:space="preserve"> ученика</w:t>
      </w:r>
      <w:r w:rsidRPr="00933BBE">
        <w:t xml:space="preserve">, или </w:t>
      </w:r>
      <w:r w:rsidR="00474E40">
        <w:rPr>
          <w:b/>
          <w:lang w:val="sr-Cyrl-RS"/>
        </w:rPr>
        <w:t>23</w:t>
      </w:r>
      <w:r>
        <w:rPr>
          <w:b/>
        </w:rPr>
        <w:t>,</w:t>
      </w:r>
      <w:r w:rsidR="00474E40">
        <w:rPr>
          <w:b/>
          <w:lang w:val="sr-Cyrl-RS"/>
        </w:rPr>
        <w:t>21</w:t>
      </w:r>
      <w:r w:rsidRPr="00933BBE">
        <w:rPr>
          <w:b/>
          <w:bCs/>
        </w:rPr>
        <w:t>%, наставило школовање на матерњем језику</w:t>
      </w:r>
      <w:r w:rsidRPr="00933BBE">
        <w:t xml:space="preserve">, што је за </w:t>
      </w:r>
      <w:r w:rsidR="00474E40">
        <w:rPr>
          <w:b/>
          <w:bCs/>
          <w:lang w:val="sr-Cyrl-RS"/>
        </w:rPr>
        <w:t>5</w:t>
      </w:r>
      <w:r w:rsidRPr="00933BBE">
        <w:rPr>
          <w:b/>
          <w:bCs/>
        </w:rPr>
        <w:t>,</w:t>
      </w:r>
      <w:r w:rsidR="00474E40">
        <w:rPr>
          <w:b/>
          <w:bCs/>
          <w:lang w:val="sr-Cyrl-RS"/>
        </w:rPr>
        <w:t>47</w:t>
      </w:r>
      <w:r w:rsidRPr="00933BBE">
        <w:rPr>
          <w:b/>
          <w:bCs/>
        </w:rPr>
        <w:t xml:space="preserve">% </w:t>
      </w:r>
      <w:r w:rsidR="00474E40">
        <w:rPr>
          <w:b/>
          <w:bCs/>
          <w:lang w:val="sr-Cyrl-RS"/>
        </w:rPr>
        <w:t>више</w:t>
      </w:r>
      <w:r w:rsidRPr="00933BBE">
        <w:t xml:space="preserve"> </w:t>
      </w:r>
      <w:r>
        <w:t>него</w:t>
      </w:r>
      <w:r w:rsidRPr="00933BBE">
        <w:t xml:space="preserve"> прошл</w:t>
      </w:r>
      <w:r>
        <w:t>е</w:t>
      </w:r>
      <w:r w:rsidRPr="00933BBE">
        <w:t xml:space="preserve"> школск</w:t>
      </w:r>
      <w:r>
        <w:t>е</w:t>
      </w:r>
      <w:r w:rsidRPr="00933BBE">
        <w:t xml:space="preserve"> годин</w:t>
      </w:r>
      <w:r>
        <w:t>е</w:t>
      </w:r>
      <w:r w:rsidRPr="00933BBE">
        <w:t>.</w:t>
      </w:r>
    </w:p>
    <w:p w:rsidR="00A968D5" w:rsidRPr="00933BBE" w:rsidRDefault="00A968D5" w:rsidP="00A968D5">
      <w:pPr>
        <w:jc w:val="both"/>
        <w:rPr>
          <w:lang w:val="sr-Cyrl-CS"/>
        </w:rPr>
      </w:pPr>
    </w:p>
    <w:p w:rsidR="00A968D5" w:rsidRDefault="00A968D5" w:rsidP="00A968D5">
      <w:pPr>
        <w:jc w:val="both"/>
        <w:rPr>
          <w:lang w:val="sr-Cyrl-CS"/>
        </w:rPr>
      </w:pPr>
      <w:r w:rsidRPr="00933BBE">
        <w:rPr>
          <w:lang w:val="ru-RU"/>
        </w:rPr>
        <w:tab/>
      </w:r>
      <w:r w:rsidRPr="00933BBE">
        <w:rPr>
          <w:lang w:val="sr-Cyrl-CS"/>
        </w:rPr>
        <w:t>План уписа ученика у први разред средњих школа</w:t>
      </w:r>
      <w:r>
        <w:rPr>
          <w:lang w:val="sr-Cyrl-CS"/>
        </w:rPr>
        <w:t>,</w:t>
      </w:r>
      <w:r w:rsidRPr="00933BBE">
        <w:rPr>
          <w:lang w:val="sr-Cyrl-CS"/>
        </w:rPr>
        <w:t xml:space="preserve"> у АП Војводини</w:t>
      </w:r>
      <w:r>
        <w:rPr>
          <w:lang w:val="sr-Cyrl-CS"/>
        </w:rPr>
        <w:t>,</w:t>
      </w:r>
      <w:r w:rsidRPr="00933BBE">
        <w:rPr>
          <w:lang w:val="sr-Cyrl-CS"/>
        </w:rPr>
        <w:t xml:space="preserve"> у којима се настава </w:t>
      </w:r>
      <w:r>
        <w:rPr>
          <w:lang w:val="sr-Cyrl-CS"/>
        </w:rPr>
        <w:t>похађа</w:t>
      </w:r>
      <w:r w:rsidRPr="00933BBE">
        <w:rPr>
          <w:lang w:val="sr-Cyrl-CS"/>
        </w:rPr>
        <w:t xml:space="preserve"> на </w:t>
      </w:r>
      <w:r w:rsidRPr="00933BBE">
        <w:rPr>
          <w:b/>
          <w:u w:val="single"/>
          <w:lang w:val="sr-Cyrl-CS"/>
        </w:rPr>
        <w:t>хрватском језику</w:t>
      </w:r>
      <w:r>
        <w:rPr>
          <w:b/>
          <w:u w:val="single"/>
          <w:lang w:val="sr-Cyrl-CS"/>
        </w:rPr>
        <w:t>,</w:t>
      </w:r>
      <w:r w:rsidRPr="00933BBE">
        <w:rPr>
          <w:lang w:val="sr-Cyrl-CS"/>
        </w:rPr>
        <w:t xml:space="preserve"> реализован је са </w:t>
      </w:r>
      <w:r w:rsidR="00474E40">
        <w:rPr>
          <w:b/>
          <w:lang w:val="sr-Cyrl-CS"/>
        </w:rPr>
        <w:t>5</w:t>
      </w:r>
      <w:r>
        <w:rPr>
          <w:b/>
          <w:lang w:val="sr-Cyrl-CS"/>
        </w:rPr>
        <w:t>6,</w:t>
      </w:r>
      <w:r w:rsidR="00474E40">
        <w:rPr>
          <w:b/>
          <w:lang w:val="sr-Cyrl-CS"/>
        </w:rPr>
        <w:t>66</w:t>
      </w:r>
      <w:r w:rsidRPr="00933BBE">
        <w:rPr>
          <w:b/>
          <w:bCs/>
          <w:lang w:val="sr-Cyrl-CS"/>
        </w:rPr>
        <w:t>%</w:t>
      </w:r>
      <w:r w:rsidRPr="00933BBE">
        <w:rPr>
          <w:lang w:val="sr-Cyrl-CS"/>
        </w:rPr>
        <w:t xml:space="preserve">, јер је на планираних </w:t>
      </w:r>
      <w:r w:rsidRPr="00933BBE">
        <w:rPr>
          <w:b/>
          <w:lang w:val="sr-Cyrl-CS"/>
        </w:rPr>
        <w:t>60 места</w:t>
      </w:r>
      <w:r w:rsidRPr="00933BBE">
        <w:rPr>
          <w:lang w:val="sr-Cyrl-CS"/>
        </w:rPr>
        <w:t xml:space="preserve"> уписано </w:t>
      </w:r>
      <w:r w:rsidR="00474E40">
        <w:rPr>
          <w:b/>
          <w:lang w:val="sr-Cyrl-CS"/>
        </w:rPr>
        <w:t>34</w:t>
      </w:r>
      <w:r w:rsidRPr="00933BBE">
        <w:rPr>
          <w:b/>
          <w:bCs/>
          <w:lang w:val="sr-Cyrl-CS"/>
        </w:rPr>
        <w:t xml:space="preserve"> ученика</w:t>
      </w:r>
      <w:r w:rsidRPr="00933BBE">
        <w:rPr>
          <w:lang w:val="sr-Cyrl-CS"/>
        </w:rPr>
        <w:t xml:space="preserve"> (табела 6.). У односу на прошлу школску годину</w:t>
      </w:r>
      <w:r>
        <w:rPr>
          <w:lang w:val="sr-Cyrl-CS"/>
        </w:rPr>
        <w:t>,</w:t>
      </w:r>
      <w:r w:rsidRPr="00933BBE">
        <w:rPr>
          <w:lang w:val="sr-Cyrl-CS"/>
        </w:rPr>
        <w:t xml:space="preserve"> </w:t>
      </w:r>
      <w:r w:rsidRPr="00933BBE">
        <w:rPr>
          <w:b/>
          <w:bCs/>
          <w:lang w:val="sr-Cyrl-CS"/>
        </w:rPr>
        <w:t xml:space="preserve">број уписаних ученика </w:t>
      </w:r>
      <w:r w:rsidR="00474E40">
        <w:rPr>
          <w:b/>
          <w:bCs/>
          <w:lang w:val="sr-Cyrl-CS"/>
        </w:rPr>
        <w:t>мањи</w:t>
      </w:r>
      <w:r w:rsidRPr="00933BBE">
        <w:rPr>
          <w:b/>
          <w:bCs/>
          <w:lang w:val="sr-Cyrl-CS"/>
        </w:rPr>
        <w:t xml:space="preserve"> </w:t>
      </w:r>
      <w:r w:rsidRPr="00933BBE">
        <w:rPr>
          <w:lang w:val="sr-Cyrl-CS"/>
        </w:rPr>
        <w:t>је</w:t>
      </w:r>
      <w:r w:rsidRPr="00933BBE">
        <w:rPr>
          <w:b/>
          <w:bCs/>
          <w:lang w:val="sr-Cyrl-CS"/>
        </w:rPr>
        <w:t xml:space="preserve"> за </w:t>
      </w:r>
      <w:r>
        <w:rPr>
          <w:b/>
          <w:bCs/>
          <w:lang w:val="sr-Cyrl-CS"/>
        </w:rPr>
        <w:t>шест</w:t>
      </w:r>
      <w:r w:rsidR="00474E40">
        <w:rPr>
          <w:b/>
          <w:bCs/>
          <w:lang w:val="sr-Cyrl-CS"/>
        </w:rPr>
        <w:t>.</w:t>
      </w:r>
      <w:r w:rsidRPr="00933BBE">
        <w:rPr>
          <w:lang w:val="sr-Cyrl-CS"/>
        </w:rPr>
        <w:t xml:space="preserve"> </w:t>
      </w:r>
    </w:p>
    <w:p w:rsidR="00A968D5" w:rsidRDefault="00A968D5" w:rsidP="00A968D5">
      <w:pPr>
        <w:jc w:val="both"/>
        <w:rPr>
          <w:lang w:val="sr-Cyrl-CS"/>
        </w:rPr>
      </w:pPr>
    </w:p>
    <w:p w:rsidR="00A968D5" w:rsidRPr="00933BBE" w:rsidRDefault="00A968D5" w:rsidP="00A968D5">
      <w:pPr>
        <w:pStyle w:val="BodyText"/>
      </w:pPr>
      <w:r w:rsidRPr="00933BBE">
        <w:tab/>
      </w:r>
      <w:r w:rsidRPr="00172547">
        <w:rPr>
          <w:bCs/>
        </w:rPr>
        <w:t xml:space="preserve">У </w:t>
      </w:r>
      <w:r w:rsidRPr="00933BBE">
        <w:t>основни</w:t>
      </w:r>
      <w:r>
        <w:t>м</w:t>
      </w:r>
      <w:r w:rsidRPr="00933BBE">
        <w:t xml:space="preserve"> школа</w:t>
      </w:r>
      <w:r>
        <w:t>ма,</w:t>
      </w:r>
      <w:r w:rsidRPr="00933BBE">
        <w:t xml:space="preserve"> у школској 20</w:t>
      </w:r>
      <w:r>
        <w:t>1</w:t>
      </w:r>
      <w:r w:rsidR="00474E40">
        <w:rPr>
          <w:lang w:val="sr-Cyrl-RS"/>
        </w:rPr>
        <w:t>3</w:t>
      </w:r>
      <w:r w:rsidRPr="00933BBE">
        <w:t>/201</w:t>
      </w:r>
      <w:r w:rsidR="00474E40">
        <w:rPr>
          <w:lang w:val="sr-Cyrl-RS"/>
        </w:rPr>
        <w:t>4</w:t>
      </w:r>
      <w:r w:rsidRPr="00933BBE">
        <w:t>. години</w:t>
      </w:r>
      <w:r>
        <w:t>,</w:t>
      </w:r>
      <w:r w:rsidRPr="00933BBE">
        <w:t xml:space="preserve"> наставу на </w:t>
      </w:r>
      <w:r>
        <w:t>хрватском</w:t>
      </w:r>
      <w:r w:rsidRPr="00933BBE">
        <w:t xml:space="preserve"> језику похађал</w:t>
      </w:r>
      <w:r w:rsidR="00474E40">
        <w:rPr>
          <w:lang w:val="sr-Cyrl-RS"/>
        </w:rPr>
        <w:t>а с</w:t>
      </w:r>
      <w:r>
        <w:rPr>
          <w:lang w:val="sr-Cyrl-RS"/>
        </w:rPr>
        <w:t>у</w:t>
      </w:r>
      <w:r>
        <w:rPr>
          <w:b/>
          <w:lang w:val="sr-Cyrl-RS"/>
        </w:rPr>
        <w:t xml:space="preserve"> 4</w:t>
      </w:r>
      <w:r w:rsidR="00474E40">
        <w:rPr>
          <w:b/>
          <w:lang w:val="sr-Cyrl-RS"/>
        </w:rPr>
        <w:t>8</w:t>
      </w:r>
      <w:r w:rsidRPr="00933BBE">
        <w:rPr>
          <w:b/>
          <w:bCs/>
        </w:rPr>
        <w:t xml:space="preserve"> ученика</w:t>
      </w:r>
      <w:r w:rsidRPr="002968F1">
        <w:rPr>
          <w:b/>
          <w:bCs/>
        </w:rPr>
        <w:t xml:space="preserve"> </w:t>
      </w:r>
      <w:r w:rsidRPr="00933BBE">
        <w:rPr>
          <w:b/>
          <w:bCs/>
        </w:rPr>
        <w:t>осмо</w:t>
      </w:r>
      <w:r>
        <w:rPr>
          <w:b/>
          <w:bCs/>
        </w:rPr>
        <w:t>г</w:t>
      </w:r>
      <w:r w:rsidRPr="00933BBE">
        <w:rPr>
          <w:b/>
          <w:bCs/>
        </w:rPr>
        <w:t xml:space="preserve"> разред</w:t>
      </w:r>
      <w:r>
        <w:rPr>
          <w:b/>
          <w:bCs/>
        </w:rPr>
        <w:t xml:space="preserve">а, </w:t>
      </w:r>
      <w:r>
        <w:rPr>
          <w:b/>
          <w:bCs/>
          <w:lang w:val="sr-Cyrl-RS"/>
        </w:rPr>
        <w:t xml:space="preserve">од којих је </w:t>
      </w:r>
      <w:r w:rsidR="00474E40">
        <w:rPr>
          <w:b/>
          <w:bCs/>
          <w:lang w:val="sr-Cyrl-RS"/>
        </w:rPr>
        <w:t>34 ученика, или 70</w:t>
      </w:r>
      <w:r>
        <w:rPr>
          <w:b/>
          <w:bCs/>
          <w:lang w:val="sr-Cyrl-RS"/>
        </w:rPr>
        <w:t>,</w:t>
      </w:r>
      <w:r w:rsidR="00474E40">
        <w:rPr>
          <w:b/>
          <w:bCs/>
          <w:lang w:val="sr-Cyrl-RS"/>
        </w:rPr>
        <w:t>83</w:t>
      </w:r>
      <w:r>
        <w:rPr>
          <w:b/>
          <w:bCs/>
          <w:lang w:val="sr-Cyrl-RS"/>
        </w:rPr>
        <w:t xml:space="preserve">% наставило школовање на матерњем језику. </w:t>
      </w:r>
    </w:p>
    <w:p w:rsidR="00A968D5" w:rsidRDefault="00A968D5" w:rsidP="00A968D5">
      <w:pPr>
        <w:jc w:val="both"/>
        <w:rPr>
          <w:lang w:val="ru-RU"/>
        </w:rPr>
      </w:pPr>
    </w:p>
    <w:p w:rsidR="00A968D5" w:rsidRPr="00933BBE" w:rsidRDefault="00A968D5" w:rsidP="00A968D5">
      <w:pPr>
        <w:pStyle w:val="BodyTextIndent"/>
      </w:pPr>
      <w:r w:rsidRPr="00933BBE">
        <w:t xml:space="preserve">У табели је дат приказ </w:t>
      </w:r>
      <w:r w:rsidRPr="00645A72">
        <w:rPr>
          <w:b/>
        </w:rPr>
        <w:t>броја ученика припадника</w:t>
      </w:r>
      <w:r w:rsidRPr="00933BBE">
        <w:t xml:space="preserve"> </w:t>
      </w:r>
      <w:r w:rsidRPr="00933BBE">
        <w:rPr>
          <w:b/>
          <w:bCs/>
        </w:rPr>
        <w:t xml:space="preserve">националних </w:t>
      </w:r>
      <w:r w:rsidR="00474E40">
        <w:rPr>
          <w:b/>
          <w:bCs/>
          <w:lang w:val="sr-Cyrl-RS"/>
        </w:rPr>
        <w:t xml:space="preserve">мањина – националних </w:t>
      </w:r>
      <w:r>
        <w:rPr>
          <w:b/>
          <w:bCs/>
          <w:lang w:val="sr-Cyrl-RS"/>
        </w:rPr>
        <w:t>заједница,</w:t>
      </w:r>
      <w:r w:rsidRPr="00933BBE">
        <w:t xml:space="preserve"> који су након основног образовања </w:t>
      </w:r>
      <w:r w:rsidRPr="00933BBE">
        <w:rPr>
          <w:b/>
          <w:bCs/>
        </w:rPr>
        <w:t>наставили школовање на матерњем језику</w:t>
      </w:r>
      <w:r w:rsidRPr="00933BBE">
        <w:t xml:space="preserve"> у школској 201</w:t>
      </w:r>
      <w:r w:rsidR="00474E40">
        <w:rPr>
          <w:lang w:val="sr-Cyrl-RS"/>
        </w:rPr>
        <w:t>4</w:t>
      </w:r>
      <w:r w:rsidRPr="00933BBE">
        <w:t>/201</w:t>
      </w:r>
      <w:r w:rsidR="00474E40">
        <w:rPr>
          <w:lang w:val="sr-Cyrl-RS"/>
        </w:rPr>
        <w:t>5</w:t>
      </w:r>
      <w:r w:rsidRPr="00933BBE">
        <w:t>. години:</w:t>
      </w:r>
    </w:p>
    <w:p w:rsidR="00A968D5" w:rsidRPr="00933BBE" w:rsidRDefault="00A968D5" w:rsidP="00A968D5">
      <w:pPr>
        <w:pStyle w:val="BodyTextIndent"/>
      </w:pPr>
    </w:p>
    <w:tbl>
      <w:tblPr>
        <w:tblW w:w="102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1440"/>
        <w:gridCol w:w="1080"/>
        <w:gridCol w:w="900"/>
        <w:gridCol w:w="1620"/>
        <w:gridCol w:w="900"/>
        <w:gridCol w:w="2160"/>
        <w:gridCol w:w="900"/>
      </w:tblGrid>
      <w:tr w:rsidR="00A968D5" w:rsidRPr="001961FF" w:rsidTr="00C61DAF">
        <w:trPr>
          <w:trHeight w:hRule="exact" w:val="1477"/>
        </w:trPr>
        <w:tc>
          <w:tcPr>
            <w:tcW w:w="12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:rsidR="00A968D5" w:rsidRPr="001961FF" w:rsidRDefault="00A968D5" w:rsidP="00C61DAF">
            <w:pPr>
              <w:pStyle w:val="BodyTextIndent"/>
              <w:ind w:firstLine="0"/>
              <w:jc w:val="center"/>
              <w:rPr>
                <w:lang w:val="ru-RU"/>
              </w:rPr>
            </w:pPr>
            <w:r w:rsidRPr="001961FF">
              <w:rPr>
                <w:lang w:val="ru-RU"/>
              </w:rPr>
              <w:t>Наставни језик</w:t>
            </w:r>
          </w:p>
        </w:tc>
        <w:tc>
          <w:tcPr>
            <w:tcW w:w="144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A968D5" w:rsidRPr="001961FF" w:rsidRDefault="00A968D5" w:rsidP="00C61DAF">
            <w:pPr>
              <w:pStyle w:val="BodyTextIndent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Осми</w:t>
            </w:r>
            <w:r w:rsidRPr="001961FF">
              <w:rPr>
                <w:lang w:val="ru-RU"/>
              </w:rPr>
              <w:t xml:space="preserve"> разред 201</w:t>
            </w:r>
            <w:r>
              <w:rPr>
                <w:lang w:val="ru-RU"/>
              </w:rPr>
              <w:t>2</w:t>
            </w:r>
            <w:r w:rsidRPr="001961FF">
              <w:rPr>
                <w:lang w:val="ru-RU"/>
              </w:rPr>
              <w:t>/201</w:t>
            </w:r>
            <w:r>
              <w:rPr>
                <w:lang w:val="ru-RU"/>
              </w:rPr>
              <w:t>3.</w:t>
            </w:r>
          </w:p>
        </w:tc>
        <w:tc>
          <w:tcPr>
            <w:tcW w:w="1980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A968D5" w:rsidRPr="001961FF" w:rsidRDefault="00A968D5" w:rsidP="00C61DAF">
            <w:pPr>
              <w:pStyle w:val="BodyTextIndent"/>
              <w:ind w:firstLine="0"/>
              <w:jc w:val="center"/>
              <w:rPr>
                <w:lang w:val="ru-RU"/>
              </w:rPr>
            </w:pPr>
            <w:r w:rsidRPr="001961FF">
              <w:rPr>
                <w:lang w:val="ru-RU"/>
              </w:rPr>
              <w:t>Наставили школовање на матерњем језику школске 201</w:t>
            </w:r>
            <w:r>
              <w:rPr>
                <w:lang w:val="ru-RU"/>
              </w:rPr>
              <w:t>3</w:t>
            </w:r>
            <w:r w:rsidRPr="001961FF">
              <w:rPr>
                <w:lang w:val="ru-RU"/>
              </w:rPr>
              <w:t>/201</w:t>
            </w:r>
            <w:r>
              <w:rPr>
                <w:lang w:val="ru-RU"/>
              </w:rPr>
              <w:t>4</w:t>
            </w:r>
            <w:r w:rsidRPr="001961FF">
              <w:rPr>
                <w:lang w:val="ru-RU"/>
              </w:rPr>
              <w:t>.</w:t>
            </w:r>
          </w:p>
          <w:p w:rsidR="00A968D5" w:rsidRPr="001961FF" w:rsidRDefault="00A968D5" w:rsidP="00C61DAF">
            <w:pPr>
              <w:pStyle w:val="BodyTextIndent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(</w:t>
            </w:r>
            <w:r w:rsidRPr="001961FF">
              <w:rPr>
                <w:lang w:val="ru-RU"/>
              </w:rPr>
              <w:t>%</w:t>
            </w:r>
            <w:r>
              <w:rPr>
                <w:lang w:val="ru-RU"/>
              </w:rPr>
              <w:t>)</w:t>
            </w:r>
          </w:p>
        </w:tc>
        <w:tc>
          <w:tcPr>
            <w:tcW w:w="162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A968D5" w:rsidRPr="001961FF" w:rsidRDefault="00A968D5" w:rsidP="00C61DAF">
            <w:pPr>
              <w:pStyle w:val="BodyTextIndent"/>
              <w:ind w:firstLine="0"/>
              <w:rPr>
                <w:lang w:val="ru-RU"/>
              </w:rPr>
            </w:pPr>
            <w:r w:rsidRPr="001961FF">
              <w:rPr>
                <w:lang w:val="ru-RU"/>
              </w:rPr>
              <w:t>Трогодишње образовање</w:t>
            </w:r>
          </w:p>
        </w:tc>
        <w:tc>
          <w:tcPr>
            <w:tcW w:w="90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A968D5" w:rsidRPr="001961FF" w:rsidRDefault="00A968D5" w:rsidP="00C61DAF">
            <w:pPr>
              <w:pStyle w:val="BodyTextIndent"/>
              <w:ind w:firstLine="0"/>
              <w:jc w:val="center"/>
              <w:rPr>
                <w:lang w:val="ru-RU"/>
              </w:rPr>
            </w:pPr>
            <w:r w:rsidRPr="001961FF">
              <w:rPr>
                <w:lang w:val="ru-RU"/>
              </w:rPr>
              <w:t>%</w:t>
            </w:r>
          </w:p>
        </w:tc>
        <w:tc>
          <w:tcPr>
            <w:tcW w:w="216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A968D5" w:rsidRPr="001961FF" w:rsidRDefault="00A968D5" w:rsidP="00C61DAF">
            <w:pPr>
              <w:pStyle w:val="BodyTextIndent"/>
              <w:ind w:firstLine="0"/>
              <w:jc w:val="center"/>
              <w:rPr>
                <w:lang w:val="ru-RU"/>
              </w:rPr>
            </w:pPr>
            <w:r w:rsidRPr="001961FF">
              <w:rPr>
                <w:lang w:val="ru-RU"/>
              </w:rPr>
              <w:t>Четворогодишње образ</w:t>
            </w:r>
            <w:r>
              <w:rPr>
                <w:lang w:val="ru-RU"/>
              </w:rPr>
              <w:t>о</w:t>
            </w:r>
            <w:r w:rsidRPr="001961FF">
              <w:rPr>
                <w:lang w:val="ru-RU"/>
              </w:rPr>
              <w:t>вање</w:t>
            </w:r>
          </w:p>
        </w:tc>
        <w:tc>
          <w:tcPr>
            <w:tcW w:w="90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A968D5" w:rsidRPr="001961FF" w:rsidRDefault="00A968D5" w:rsidP="00C61DAF">
            <w:pPr>
              <w:pStyle w:val="BodyTextIndent"/>
              <w:ind w:firstLine="0"/>
              <w:jc w:val="center"/>
              <w:rPr>
                <w:lang w:val="ru-RU"/>
              </w:rPr>
            </w:pPr>
            <w:r w:rsidRPr="001961FF">
              <w:rPr>
                <w:lang w:val="ru-RU"/>
              </w:rPr>
              <w:t>%</w:t>
            </w:r>
          </w:p>
        </w:tc>
      </w:tr>
      <w:tr w:rsidR="00A968D5" w:rsidRPr="001961FF" w:rsidTr="00C61DAF">
        <w:trPr>
          <w:trHeight w:hRule="exact" w:val="576"/>
        </w:trPr>
        <w:tc>
          <w:tcPr>
            <w:tcW w:w="1260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:rsidR="00A968D5" w:rsidRPr="001961FF" w:rsidRDefault="00A968D5" w:rsidP="00C61DAF">
            <w:pPr>
              <w:pStyle w:val="BodyTextIndent"/>
              <w:ind w:firstLine="0"/>
              <w:jc w:val="center"/>
              <w:rPr>
                <w:lang w:val="ru-RU"/>
              </w:rPr>
            </w:pPr>
            <w:r w:rsidRPr="001961FF">
              <w:rPr>
                <w:lang w:val="ru-RU"/>
              </w:rPr>
              <w:t>Мађарски језик</w:t>
            </w:r>
          </w:p>
        </w:tc>
        <w:tc>
          <w:tcPr>
            <w:tcW w:w="1440" w:type="dxa"/>
            <w:tcBorders>
              <w:top w:val="double" w:sz="4" w:space="0" w:color="auto"/>
            </w:tcBorders>
            <w:shd w:val="clear" w:color="auto" w:fill="auto"/>
          </w:tcPr>
          <w:p w:rsidR="00A968D5" w:rsidRPr="001961FF" w:rsidRDefault="00A968D5" w:rsidP="00474E40">
            <w:pPr>
              <w:pStyle w:val="BodyTextIndent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Pr="001961FF">
              <w:rPr>
                <w:lang w:val="ru-RU"/>
              </w:rPr>
              <w:t>.</w:t>
            </w:r>
            <w:r w:rsidR="00474E40">
              <w:rPr>
                <w:lang w:val="ru-RU"/>
              </w:rPr>
              <w:t>722</w:t>
            </w:r>
          </w:p>
        </w:tc>
        <w:tc>
          <w:tcPr>
            <w:tcW w:w="1080" w:type="dxa"/>
            <w:tcBorders>
              <w:top w:val="double" w:sz="4" w:space="0" w:color="auto"/>
            </w:tcBorders>
            <w:shd w:val="clear" w:color="auto" w:fill="auto"/>
          </w:tcPr>
          <w:p w:rsidR="00A968D5" w:rsidRPr="001961FF" w:rsidRDefault="00A968D5" w:rsidP="00474E40">
            <w:pPr>
              <w:pStyle w:val="BodyTextIndent"/>
              <w:ind w:firstLine="0"/>
              <w:jc w:val="center"/>
              <w:rPr>
                <w:lang w:val="ru-RU"/>
              </w:rPr>
            </w:pPr>
            <w:r w:rsidRPr="001961FF">
              <w:rPr>
                <w:lang w:val="ru-RU"/>
              </w:rPr>
              <w:t>1.</w:t>
            </w:r>
            <w:r w:rsidR="00474E40">
              <w:rPr>
                <w:lang w:val="ru-RU"/>
              </w:rPr>
              <w:t>544</w:t>
            </w:r>
          </w:p>
        </w:tc>
        <w:tc>
          <w:tcPr>
            <w:tcW w:w="900" w:type="dxa"/>
            <w:tcBorders>
              <w:top w:val="double" w:sz="4" w:space="0" w:color="auto"/>
            </w:tcBorders>
            <w:shd w:val="clear" w:color="auto" w:fill="auto"/>
          </w:tcPr>
          <w:p w:rsidR="00A968D5" w:rsidRPr="001961FF" w:rsidRDefault="00474E40" w:rsidP="00474E40">
            <w:pPr>
              <w:pStyle w:val="BodyTextIndent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89</w:t>
            </w:r>
            <w:r w:rsidR="00A968D5" w:rsidRPr="001961FF">
              <w:rPr>
                <w:lang w:val="ru-RU"/>
              </w:rPr>
              <w:t>,</w:t>
            </w:r>
            <w:r>
              <w:rPr>
                <w:lang w:val="ru-RU"/>
              </w:rPr>
              <w:t>66</w:t>
            </w:r>
            <w:r w:rsidR="00A968D5" w:rsidRPr="001961FF">
              <w:rPr>
                <w:lang w:val="ru-RU"/>
              </w:rPr>
              <w:t>%</w:t>
            </w:r>
          </w:p>
        </w:tc>
        <w:tc>
          <w:tcPr>
            <w:tcW w:w="1620" w:type="dxa"/>
            <w:tcBorders>
              <w:top w:val="double" w:sz="4" w:space="0" w:color="auto"/>
            </w:tcBorders>
            <w:shd w:val="clear" w:color="auto" w:fill="auto"/>
          </w:tcPr>
          <w:p w:rsidR="00A968D5" w:rsidRPr="001961FF" w:rsidRDefault="00474E40" w:rsidP="00C61DAF">
            <w:pPr>
              <w:pStyle w:val="BodyTextIndent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281</w:t>
            </w:r>
          </w:p>
        </w:tc>
        <w:tc>
          <w:tcPr>
            <w:tcW w:w="900" w:type="dxa"/>
            <w:tcBorders>
              <w:top w:val="double" w:sz="4" w:space="0" w:color="auto"/>
            </w:tcBorders>
            <w:shd w:val="clear" w:color="auto" w:fill="auto"/>
          </w:tcPr>
          <w:p w:rsidR="00A968D5" w:rsidRPr="001961FF" w:rsidRDefault="00A968D5" w:rsidP="00474E40">
            <w:pPr>
              <w:pStyle w:val="BodyTextIndent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474E40">
              <w:rPr>
                <w:lang w:val="ru-RU"/>
              </w:rPr>
              <w:t>8</w:t>
            </w:r>
            <w:r w:rsidRPr="001961FF">
              <w:rPr>
                <w:lang w:val="ru-RU"/>
              </w:rPr>
              <w:t>,</w:t>
            </w:r>
            <w:r w:rsidR="00474E40">
              <w:rPr>
                <w:lang w:val="ru-RU"/>
              </w:rPr>
              <w:t>20</w:t>
            </w:r>
            <w:r w:rsidRPr="001961FF">
              <w:rPr>
                <w:lang w:val="ru-RU"/>
              </w:rPr>
              <w:t>%</w:t>
            </w:r>
          </w:p>
        </w:tc>
        <w:tc>
          <w:tcPr>
            <w:tcW w:w="2160" w:type="dxa"/>
            <w:tcBorders>
              <w:top w:val="double" w:sz="4" w:space="0" w:color="auto"/>
            </w:tcBorders>
            <w:shd w:val="clear" w:color="auto" w:fill="auto"/>
          </w:tcPr>
          <w:p w:rsidR="00A968D5" w:rsidRPr="001961FF" w:rsidRDefault="00A968D5" w:rsidP="00474E40">
            <w:pPr>
              <w:pStyle w:val="BodyTextIndent"/>
              <w:ind w:firstLine="0"/>
              <w:jc w:val="center"/>
              <w:rPr>
                <w:lang w:val="ru-RU"/>
              </w:rPr>
            </w:pPr>
            <w:r w:rsidRPr="001961FF">
              <w:rPr>
                <w:lang w:val="ru-RU"/>
              </w:rPr>
              <w:t>1.</w:t>
            </w:r>
            <w:r w:rsidR="00474E40">
              <w:rPr>
                <w:lang w:val="ru-RU"/>
              </w:rPr>
              <w:t>263</w:t>
            </w:r>
          </w:p>
        </w:tc>
        <w:tc>
          <w:tcPr>
            <w:tcW w:w="900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:rsidR="00A968D5" w:rsidRPr="001961FF" w:rsidRDefault="00A968D5" w:rsidP="00474E40">
            <w:pPr>
              <w:pStyle w:val="BodyTextIndent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  <w:r w:rsidR="00474E40">
              <w:rPr>
                <w:lang w:val="ru-RU"/>
              </w:rPr>
              <w:t>1</w:t>
            </w:r>
            <w:r w:rsidRPr="001961FF">
              <w:rPr>
                <w:lang w:val="ru-RU"/>
              </w:rPr>
              <w:t>,</w:t>
            </w:r>
            <w:r w:rsidR="00474E40">
              <w:rPr>
                <w:lang w:val="ru-RU"/>
              </w:rPr>
              <w:t>80</w:t>
            </w:r>
            <w:r w:rsidRPr="001961FF">
              <w:rPr>
                <w:lang w:val="ru-RU"/>
              </w:rPr>
              <w:t>%</w:t>
            </w:r>
          </w:p>
        </w:tc>
      </w:tr>
      <w:tr w:rsidR="00A968D5" w:rsidRPr="001961FF" w:rsidTr="00C61DAF">
        <w:trPr>
          <w:trHeight w:hRule="exact" w:val="576"/>
        </w:trPr>
        <w:tc>
          <w:tcPr>
            <w:tcW w:w="1260" w:type="dxa"/>
            <w:tcBorders>
              <w:left w:val="double" w:sz="4" w:space="0" w:color="auto"/>
            </w:tcBorders>
            <w:shd w:val="clear" w:color="auto" w:fill="auto"/>
          </w:tcPr>
          <w:p w:rsidR="00A968D5" w:rsidRPr="001961FF" w:rsidRDefault="00A968D5" w:rsidP="00C61DAF">
            <w:pPr>
              <w:pStyle w:val="BodyTextIndent"/>
              <w:ind w:firstLine="0"/>
              <w:jc w:val="center"/>
              <w:rPr>
                <w:lang w:val="ru-RU"/>
              </w:rPr>
            </w:pPr>
            <w:r w:rsidRPr="001961FF">
              <w:rPr>
                <w:lang w:val="ru-RU"/>
              </w:rPr>
              <w:t>Словачки језик</w:t>
            </w:r>
          </w:p>
        </w:tc>
        <w:tc>
          <w:tcPr>
            <w:tcW w:w="1440" w:type="dxa"/>
            <w:shd w:val="clear" w:color="auto" w:fill="auto"/>
          </w:tcPr>
          <w:p w:rsidR="00A968D5" w:rsidRPr="001961FF" w:rsidRDefault="00474E40" w:rsidP="00474E40">
            <w:pPr>
              <w:pStyle w:val="BodyTextIndent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343</w:t>
            </w:r>
          </w:p>
        </w:tc>
        <w:tc>
          <w:tcPr>
            <w:tcW w:w="1080" w:type="dxa"/>
            <w:shd w:val="clear" w:color="auto" w:fill="auto"/>
          </w:tcPr>
          <w:p w:rsidR="00A968D5" w:rsidRPr="005925AC" w:rsidRDefault="00A968D5" w:rsidP="00474E40">
            <w:pPr>
              <w:pStyle w:val="BodyTextIndent"/>
              <w:ind w:firstLine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10</w:t>
            </w:r>
            <w:r w:rsidR="00474E40">
              <w:rPr>
                <w:lang w:val="sr-Cyrl-RS"/>
              </w:rPr>
              <w:t>3</w:t>
            </w:r>
          </w:p>
        </w:tc>
        <w:tc>
          <w:tcPr>
            <w:tcW w:w="900" w:type="dxa"/>
            <w:shd w:val="clear" w:color="auto" w:fill="auto"/>
          </w:tcPr>
          <w:p w:rsidR="00A968D5" w:rsidRPr="001961FF" w:rsidRDefault="00474E40" w:rsidP="00C61DAF">
            <w:pPr>
              <w:pStyle w:val="BodyTextIndent"/>
              <w:ind w:firstLine="0"/>
              <w:jc w:val="center"/>
              <w:rPr>
                <w:lang w:val="en-US"/>
              </w:rPr>
            </w:pPr>
            <w:r>
              <w:rPr>
                <w:lang w:val="sr-Cyrl-RS"/>
              </w:rPr>
              <w:t>30</w:t>
            </w:r>
            <w:r w:rsidR="00A968D5" w:rsidRPr="001961FF">
              <w:rPr>
                <w:lang w:val="en-US"/>
              </w:rPr>
              <w:t>%</w:t>
            </w:r>
          </w:p>
        </w:tc>
        <w:tc>
          <w:tcPr>
            <w:tcW w:w="1620" w:type="dxa"/>
            <w:shd w:val="clear" w:color="auto" w:fill="auto"/>
          </w:tcPr>
          <w:p w:rsidR="00A968D5" w:rsidRPr="001961FF" w:rsidRDefault="00A968D5" w:rsidP="00C61DAF">
            <w:pPr>
              <w:pStyle w:val="BodyTextIndent"/>
              <w:ind w:firstLine="0"/>
              <w:jc w:val="center"/>
              <w:rPr>
                <w:lang w:val="en-US"/>
              </w:rPr>
            </w:pPr>
            <w:r w:rsidRPr="001961FF">
              <w:rPr>
                <w:lang w:val="en-US"/>
              </w:rPr>
              <w:t>…</w:t>
            </w:r>
          </w:p>
        </w:tc>
        <w:tc>
          <w:tcPr>
            <w:tcW w:w="900" w:type="dxa"/>
            <w:shd w:val="clear" w:color="auto" w:fill="auto"/>
          </w:tcPr>
          <w:p w:rsidR="00A968D5" w:rsidRPr="001961FF" w:rsidRDefault="00A968D5" w:rsidP="00C61DAF">
            <w:pPr>
              <w:pStyle w:val="BodyTextIndent"/>
              <w:ind w:firstLine="0"/>
              <w:jc w:val="center"/>
              <w:rPr>
                <w:lang w:val="en-US"/>
              </w:rPr>
            </w:pPr>
            <w:r w:rsidRPr="001961FF">
              <w:rPr>
                <w:lang w:val="en-US"/>
              </w:rPr>
              <w:t>…</w:t>
            </w:r>
          </w:p>
        </w:tc>
        <w:tc>
          <w:tcPr>
            <w:tcW w:w="2160" w:type="dxa"/>
            <w:shd w:val="clear" w:color="auto" w:fill="auto"/>
          </w:tcPr>
          <w:p w:rsidR="00A968D5" w:rsidRPr="005925AC" w:rsidRDefault="00474E40" w:rsidP="00C61DAF">
            <w:pPr>
              <w:pStyle w:val="BodyTextIndent"/>
              <w:ind w:firstLine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103</w:t>
            </w:r>
          </w:p>
        </w:tc>
        <w:tc>
          <w:tcPr>
            <w:tcW w:w="900" w:type="dxa"/>
            <w:tcBorders>
              <w:right w:val="double" w:sz="4" w:space="0" w:color="auto"/>
            </w:tcBorders>
            <w:shd w:val="clear" w:color="auto" w:fill="auto"/>
          </w:tcPr>
          <w:p w:rsidR="00A968D5" w:rsidRPr="001961FF" w:rsidRDefault="00A968D5" w:rsidP="00C61DAF">
            <w:pPr>
              <w:pStyle w:val="BodyTextIndent"/>
              <w:ind w:firstLine="0"/>
              <w:jc w:val="center"/>
              <w:rPr>
                <w:lang w:val="en-US"/>
              </w:rPr>
            </w:pPr>
            <w:r w:rsidRPr="001961FF">
              <w:rPr>
                <w:lang w:val="en-US"/>
              </w:rPr>
              <w:t>100%</w:t>
            </w:r>
          </w:p>
        </w:tc>
      </w:tr>
      <w:tr w:rsidR="00A968D5" w:rsidRPr="001961FF" w:rsidTr="00C61DAF">
        <w:trPr>
          <w:trHeight w:hRule="exact" w:val="576"/>
        </w:trPr>
        <w:tc>
          <w:tcPr>
            <w:tcW w:w="1260" w:type="dxa"/>
            <w:tcBorders>
              <w:left w:val="double" w:sz="4" w:space="0" w:color="auto"/>
            </w:tcBorders>
            <w:shd w:val="clear" w:color="auto" w:fill="auto"/>
          </w:tcPr>
          <w:p w:rsidR="00A968D5" w:rsidRPr="001961FF" w:rsidRDefault="00A968D5" w:rsidP="00C61DAF">
            <w:pPr>
              <w:pStyle w:val="BodyTextIndent"/>
              <w:ind w:firstLine="0"/>
              <w:jc w:val="center"/>
              <w:rPr>
                <w:lang w:val="ru-RU"/>
              </w:rPr>
            </w:pPr>
            <w:r w:rsidRPr="001961FF">
              <w:rPr>
                <w:lang w:val="ru-RU"/>
              </w:rPr>
              <w:t>Румунски језик</w:t>
            </w:r>
          </w:p>
        </w:tc>
        <w:tc>
          <w:tcPr>
            <w:tcW w:w="1440" w:type="dxa"/>
            <w:shd w:val="clear" w:color="auto" w:fill="auto"/>
          </w:tcPr>
          <w:p w:rsidR="00A968D5" w:rsidRPr="001961FF" w:rsidRDefault="00A968D5" w:rsidP="00474E40">
            <w:pPr>
              <w:pStyle w:val="BodyTextIndent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474E40">
              <w:rPr>
                <w:lang w:val="ru-RU"/>
              </w:rPr>
              <w:t>55</w:t>
            </w:r>
          </w:p>
        </w:tc>
        <w:tc>
          <w:tcPr>
            <w:tcW w:w="1080" w:type="dxa"/>
            <w:shd w:val="clear" w:color="auto" w:fill="auto"/>
          </w:tcPr>
          <w:p w:rsidR="00A968D5" w:rsidRPr="005925AC" w:rsidRDefault="00474E40" w:rsidP="00C61DAF">
            <w:pPr>
              <w:pStyle w:val="BodyTextIndent"/>
              <w:ind w:firstLine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57</w:t>
            </w:r>
          </w:p>
        </w:tc>
        <w:tc>
          <w:tcPr>
            <w:tcW w:w="900" w:type="dxa"/>
            <w:shd w:val="clear" w:color="auto" w:fill="auto"/>
          </w:tcPr>
          <w:p w:rsidR="00A968D5" w:rsidRPr="001961FF" w:rsidRDefault="00A968D5" w:rsidP="00474E40">
            <w:pPr>
              <w:pStyle w:val="BodyTextIndent"/>
              <w:ind w:firstLine="0"/>
              <w:jc w:val="center"/>
              <w:rPr>
                <w:lang w:val="en-US"/>
              </w:rPr>
            </w:pPr>
            <w:r>
              <w:t>3</w:t>
            </w:r>
            <w:r w:rsidR="00474E40">
              <w:rPr>
                <w:lang w:val="sr-Cyrl-RS"/>
              </w:rPr>
              <w:t>6</w:t>
            </w:r>
            <w:r w:rsidRPr="001961FF">
              <w:rPr>
                <w:lang w:val="en-US"/>
              </w:rPr>
              <w:t>,</w:t>
            </w:r>
            <w:r w:rsidR="00474E40">
              <w:rPr>
                <w:lang w:val="sr-Cyrl-RS"/>
              </w:rPr>
              <w:t>77</w:t>
            </w:r>
            <w:r w:rsidRPr="001961FF">
              <w:rPr>
                <w:lang w:val="en-US"/>
              </w:rPr>
              <w:t>%</w:t>
            </w:r>
          </w:p>
        </w:tc>
        <w:tc>
          <w:tcPr>
            <w:tcW w:w="1620" w:type="dxa"/>
            <w:shd w:val="clear" w:color="auto" w:fill="auto"/>
          </w:tcPr>
          <w:p w:rsidR="00A968D5" w:rsidRPr="001961FF" w:rsidRDefault="00A968D5" w:rsidP="00C61DAF">
            <w:pPr>
              <w:pStyle w:val="BodyTextIndent"/>
              <w:ind w:firstLine="0"/>
              <w:jc w:val="center"/>
              <w:rPr>
                <w:lang w:val="en-US"/>
              </w:rPr>
            </w:pPr>
            <w:r w:rsidRPr="001961FF">
              <w:rPr>
                <w:lang w:val="en-US"/>
              </w:rPr>
              <w:t>…</w:t>
            </w:r>
          </w:p>
        </w:tc>
        <w:tc>
          <w:tcPr>
            <w:tcW w:w="900" w:type="dxa"/>
            <w:shd w:val="clear" w:color="auto" w:fill="auto"/>
          </w:tcPr>
          <w:p w:rsidR="00A968D5" w:rsidRPr="001961FF" w:rsidRDefault="00A968D5" w:rsidP="00C61DAF">
            <w:pPr>
              <w:pStyle w:val="BodyTextIndent"/>
              <w:ind w:firstLine="0"/>
              <w:jc w:val="center"/>
              <w:rPr>
                <w:lang w:val="en-US"/>
              </w:rPr>
            </w:pPr>
            <w:r w:rsidRPr="001961FF">
              <w:rPr>
                <w:lang w:val="en-US"/>
              </w:rPr>
              <w:t>…</w:t>
            </w:r>
          </w:p>
        </w:tc>
        <w:tc>
          <w:tcPr>
            <w:tcW w:w="2160" w:type="dxa"/>
            <w:shd w:val="clear" w:color="auto" w:fill="auto"/>
          </w:tcPr>
          <w:p w:rsidR="00A968D5" w:rsidRPr="005925AC" w:rsidRDefault="00474E40" w:rsidP="00474E40">
            <w:pPr>
              <w:pStyle w:val="BodyTextIndent"/>
              <w:ind w:firstLine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57</w:t>
            </w:r>
          </w:p>
        </w:tc>
        <w:tc>
          <w:tcPr>
            <w:tcW w:w="900" w:type="dxa"/>
            <w:tcBorders>
              <w:right w:val="double" w:sz="4" w:space="0" w:color="auto"/>
            </w:tcBorders>
            <w:shd w:val="clear" w:color="auto" w:fill="auto"/>
          </w:tcPr>
          <w:p w:rsidR="00A968D5" w:rsidRPr="001961FF" w:rsidRDefault="00A968D5" w:rsidP="00C61DAF">
            <w:pPr>
              <w:pStyle w:val="BodyTextIndent"/>
              <w:ind w:firstLine="0"/>
              <w:jc w:val="center"/>
              <w:rPr>
                <w:lang w:val="en-US"/>
              </w:rPr>
            </w:pPr>
            <w:r w:rsidRPr="001961FF">
              <w:rPr>
                <w:lang w:val="en-US"/>
              </w:rPr>
              <w:t>100%</w:t>
            </w:r>
          </w:p>
        </w:tc>
      </w:tr>
      <w:tr w:rsidR="00A968D5" w:rsidRPr="001961FF" w:rsidTr="00C61DAF">
        <w:trPr>
          <w:trHeight w:hRule="exact" w:val="576"/>
        </w:trPr>
        <w:tc>
          <w:tcPr>
            <w:tcW w:w="1260" w:type="dxa"/>
            <w:tcBorders>
              <w:left w:val="double" w:sz="4" w:space="0" w:color="auto"/>
            </w:tcBorders>
            <w:shd w:val="clear" w:color="auto" w:fill="auto"/>
          </w:tcPr>
          <w:p w:rsidR="00A968D5" w:rsidRPr="001961FF" w:rsidRDefault="00A968D5" w:rsidP="00C61DAF">
            <w:pPr>
              <w:pStyle w:val="BodyTextIndent"/>
              <w:ind w:firstLine="0"/>
              <w:jc w:val="center"/>
              <w:rPr>
                <w:lang w:val="ru-RU"/>
              </w:rPr>
            </w:pPr>
            <w:r w:rsidRPr="001961FF">
              <w:rPr>
                <w:lang w:val="ru-RU"/>
              </w:rPr>
              <w:t>Русински језик</w:t>
            </w:r>
          </w:p>
        </w:tc>
        <w:tc>
          <w:tcPr>
            <w:tcW w:w="1440" w:type="dxa"/>
            <w:shd w:val="clear" w:color="auto" w:fill="auto"/>
          </w:tcPr>
          <w:p w:rsidR="00A968D5" w:rsidRPr="001961FF" w:rsidRDefault="00474E40" w:rsidP="00474E40">
            <w:pPr>
              <w:pStyle w:val="BodyTextIndent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56</w:t>
            </w:r>
          </w:p>
        </w:tc>
        <w:tc>
          <w:tcPr>
            <w:tcW w:w="1080" w:type="dxa"/>
            <w:shd w:val="clear" w:color="auto" w:fill="auto"/>
          </w:tcPr>
          <w:p w:rsidR="00A968D5" w:rsidRPr="00474E40" w:rsidRDefault="00A968D5" w:rsidP="00474E40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1961FF">
              <w:rPr>
                <w:lang w:val="en-US"/>
              </w:rPr>
              <w:t>1</w:t>
            </w:r>
            <w:r w:rsidR="00474E40">
              <w:rPr>
                <w:lang w:val="sr-Cyrl-RS"/>
              </w:rPr>
              <w:t>3</w:t>
            </w:r>
          </w:p>
        </w:tc>
        <w:tc>
          <w:tcPr>
            <w:tcW w:w="900" w:type="dxa"/>
            <w:shd w:val="clear" w:color="auto" w:fill="auto"/>
          </w:tcPr>
          <w:p w:rsidR="00A968D5" w:rsidRPr="001961FF" w:rsidRDefault="00474E40" w:rsidP="00474E40">
            <w:pPr>
              <w:pStyle w:val="BodyTextIndent"/>
              <w:ind w:firstLine="0"/>
              <w:jc w:val="center"/>
              <w:rPr>
                <w:lang w:val="en-US"/>
              </w:rPr>
            </w:pPr>
            <w:r>
              <w:rPr>
                <w:lang w:val="sr-Cyrl-RS"/>
              </w:rPr>
              <w:t>23</w:t>
            </w:r>
            <w:r w:rsidR="00A968D5">
              <w:t>,</w:t>
            </w:r>
            <w:r>
              <w:rPr>
                <w:lang w:val="sr-Cyrl-RS"/>
              </w:rPr>
              <w:t>21</w:t>
            </w:r>
            <w:r w:rsidR="00A968D5" w:rsidRPr="001961FF">
              <w:rPr>
                <w:lang w:val="en-US"/>
              </w:rPr>
              <w:t>%</w:t>
            </w:r>
          </w:p>
        </w:tc>
        <w:tc>
          <w:tcPr>
            <w:tcW w:w="1620" w:type="dxa"/>
            <w:shd w:val="clear" w:color="auto" w:fill="auto"/>
          </w:tcPr>
          <w:p w:rsidR="00A968D5" w:rsidRPr="001961FF" w:rsidRDefault="00A968D5" w:rsidP="00C61DAF">
            <w:pPr>
              <w:pStyle w:val="BodyTextIndent"/>
              <w:ind w:firstLine="0"/>
              <w:jc w:val="center"/>
              <w:rPr>
                <w:lang w:val="en-US"/>
              </w:rPr>
            </w:pPr>
            <w:r w:rsidRPr="001961FF">
              <w:rPr>
                <w:lang w:val="en-US"/>
              </w:rPr>
              <w:t>…</w:t>
            </w:r>
          </w:p>
        </w:tc>
        <w:tc>
          <w:tcPr>
            <w:tcW w:w="900" w:type="dxa"/>
            <w:shd w:val="clear" w:color="auto" w:fill="auto"/>
          </w:tcPr>
          <w:p w:rsidR="00A968D5" w:rsidRPr="001961FF" w:rsidRDefault="00A968D5" w:rsidP="00C61DAF">
            <w:pPr>
              <w:pStyle w:val="BodyTextIndent"/>
              <w:ind w:firstLine="0"/>
              <w:jc w:val="center"/>
              <w:rPr>
                <w:lang w:val="en-US"/>
              </w:rPr>
            </w:pPr>
            <w:r w:rsidRPr="001961FF">
              <w:rPr>
                <w:lang w:val="en-US"/>
              </w:rPr>
              <w:t>…</w:t>
            </w:r>
          </w:p>
        </w:tc>
        <w:tc>
          <w:tcPr>
            <w:tcW w:w="2160" w:type="dxa"/>
            <w:shd w:val="clear" w:color="auto" w:fill="auto"/>
          </w:tcPr>
          <w:p w:rsidR="00A968D5" w:rsidRPr="00474E40" w:rsidRDefault="00A968D5" w:rsidP="00474E40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933BBE">
              <w:t>1</w:t>
            </w:r>
            <w:r w:rsidR="00474E40">
              <w:rPr>
                <w:lang w:val="sr-Cyrl-RS"/>
              </w:rPr>
              <w:t>3</w:t>
            </w:r>
          </w:p>
        </w:tc>
        <w:tc>
          <w:tcPr>
            <w:tcW w:w="900" w:type="dxa"/>
            <w:tcBorders>
              <w:right w:val="double" w:sz="4" w:space="0" w:color="auto"/>
            </w:tcBorders>
            <w:shd w:val="clear" w:color="auto" w:fill="auto"/>
          </w:tcPr>
          <w:p w:rsidR="00A968D5" w:rsidRPr="001961FF" w:rsidRDefault="00A968D5" w:rsidP="00C61DAF">
            <w:pPr>
              <w:pStyle w:val="BodyTextIndent"/>
              <w:ind w:firstLine="0"/>
              <w:jc w:val="center"/>
              <w:rPr>
                <w:lang w:val="en-US"/>
              </w:rPr>
            </w:pPr>
            <w:r w:rsidRPr="001961FF">
              <w:rPr>
                <w:lang w:val="en-US"/>
              </w:rPr>
              <w:t>100%</w:t>
            </w:r>
          </w:p>
        </w:tc>
      </w:tr>
      <w:tr w:rsidR="00A968D5" w:rsidRPr="001961FF" w:rsidTr="00C61DAF">
        <w:trPr>
          <w:trHeight w:hRule="exact" w:val="576"/>
        </w:trPr>
        <w:tc>
          <w:tcPr>
            <w:tcW w:w="1260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:rsidR="00A968D5" w:rsidRPr="001961FF" w:rsidRDefault="00A968D5" w:rsidP="00C61DAF">
            <w:pPr>
              <w:pStyle w:val="BodyTextIndent"/>
              <w:ind w:firstLine="0"/>
              <w:jc w:val="center"/>
              <w:rPr>
                <w:lang w:val="ru-RU"/>
              </w:rPr>
            </w:pPr>
            <w:r w:rsidRPr="001961FF">
              <w:rPr>
                <w:lang w:val="ru-RU"/>
              </w:rPr>
              <w:t>Хрватски језик</w:t>
            </w:r>
          </w:p>
        </w:tc>
        <w:tc>
          <w:tcPr>
            <w:tcW w:w="1440" w:type="dxa"/>
            <w:tcBorders>
              <w:bottom w:val="double" w:sz="4" w:space="0" w:color="auto"/>
            </w:tcBorders>
            <w:shd w:val="clear" w:color="auto" w:fill="auto"/>
          </w:tcPr>
          <w:p w:rsidR="00A968D5" w:rsidRPr="001961FF" w:rsidRDefault="00474E40" w:rsidP="00C61DAF">
            <w:pPr>
              <w:pStyle w:val="BodyTextIndent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48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</w:tcPr>
          <w:p w:rsidR="00A968D5" w:rsidRPr="005925AC" w:rsidRDefault="00474E40" w:rsidP="00C61DAF">
            <w:pPr>
              <w:pStyle w:val="BodyTextIndent"/>
              <w:ind w:firstLine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34</w:t>
            </w:r>
          </w:p>
        </w:tc>
        <w:tc>
          <w:tcPr>
            <w:tcW w:w="900" w:type="dxa"/>
            <w:tcBorders>
              <w:bottom w:val="double" w:sz="4" w:space="0" w:color="auto"/>
            </w:tcBorders>
            <w:shd w:val="clear" w:color="auto" w:fill="auto"/>
          </w:tcPr>
          <w:p w:rsidR="00A968D5" w:rsidRPr="00933BBE" w:rsidRDefault="00474E40" w:rsidP="00474E40">
            <w:pPr>
              <w:pStyle w:val="BodyTextIndent"/>
              <w:ind w:firstLine="0"/>
              <w:jc w:val="center"/>
            </w:pPr>
            <w:r>
              <w:rPr>
                <w:lang w:val="sr-Cyrl-RS"/>
              </w:rPr>
              <w:t>70</w:t>
            </w:r>
            <w:r w:rsidR="00A968D5">
              <w:rPr>
                <w:lang w:val="sr-Cyrl-RS"/>
              </w:rPr>
              <w:t>,</w:t>
            </w:r>
            <w:r>
              <w:rPr>
                <w:lang w:val="sr-Cyrl-RS"/>
              </w:rPr>
              <w:t>83</w:t>
            </w:r>
            <w:r w:rsidR="00A968D5" w:rsidRPr="00933BBE">
              <w:t>%</w:t>
            </w:r>
          </w:p>
        </w:tc>
        <w:tc>
          <w:tcPr>
            <w:tcW w:w="1620" w:type="dxa"/>
            <w:tcBorders>
              <w:bottom w:val="double" w:sz="4" w:space="0" w:color="auto"/>
            </w:tcBorders>
            <w:shd w:val="clear" w:color="auto" w:fill="auto"/>
          </w:tcPr>
          <w:p w:rsidR="00A968D5" w:rsidRPr="007F2323" w:rsidRDefault="00A968D5" w:rsidP="00C61DAF">
            <w:pPr>
              <w:pStyle w:val="BodyTextIndent"/>
              <w:ind w:firstLine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...</w:t>
            </w:r>
          </w:p>
        </w:tc>
        <w:tc>
          <w:tcPr>
            <w:tcW w:w="900" w:type="dxa"/>
            <w:tcBorders>
              <w:bottom w:val="double" w:sz="4" w:space="0" w:color="auto"/>
            </w:tcBorders>
            <w:shd w:val="clear" w:color="auto" w:fill="auto"/>
          </w:tcPr>
          <w:p w:rsidR="00A968D5" w:rsidRPr="007F2323" w:rsidRDefault="00A968D5" w:rsidP="00C61DAF">
            <w:pPr>
              <w:pStyle w:val="BodyTextIndent"/>
              <w:ind w:firstLine="0"/>
              <w:jc w:val="center"/>
              <w:rPr>
                <w:lang w:val="sr-Cyrl-RS"/>
              </w:rPr>
            </w:pPr>
          </w:p>
        </w:tc>
        <w:tc>
          <w:tcPr>
            <w:tcW w:w="2160" w:type="dxa"/>
            <w:tcBorders>
              <w:bottom w:val="double" w:sz="4" w:space="0" w:color="auto"/>
            </w:tcBorders>
            <w:shd w:val="clear" w:color="auto" w:fill="auto"/>
          </w:tcPr>
          <w:p w:rsidR="00A968D5" w:rsidRPr="005925AC" w:rsidRDefault="00474E40" w:rsidP="00474E40">
            <w:pPr>
              <w:pStyle w:val="BodyTextIndent"/>
              <w:ind w:firstLine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34</w:t>
            </w:r>
          </w:p>
        </w:tc>
        <w:tc>
          <w:tcPr>
            <w:tcW w:w="900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A968D5" w:rsidRPr="00933BBE" w:rsidRDefault="00A968D5" w:rsidP="00C61DAF">
            <w:pPr>
              <w:pStyle w:val="BodyTextIndent"/>
              <w:ind w:firstLine="0"/>
              <w:jc w:val="center"/>
            </w:pPr>
            <w:r>
              <w:rPr>
                <w:lang w:val="sr-Cyrl-RS"/>
              </w:rPr>
              <w:t>100</w:t>
            </w:r>
            <w:r w:rsidRPr="00933BBE">
              <w:t>%</w:t>
            </w:r>
          </w:p>
        </w:tc>
      </w:tr>
    </w:tbl>
    <w:p w:rsidR="00A968D5" w:rsidRPr="00933BBE" w:rsidRDefault="00A968D5" w:rsidP="00A968D5">
      <w:pPr>
        <w:pStyle w:val="BodyTextIndent"/>
        <w:rPr>
          <w:lang w:val="ru-RU"/>
        </w:rPr>
      </w:pPr>
    </w:p>
    <w:p w:rsidR="00742264" w:rsidRPr="00FC1044" w:rsidRDefault="00742264" w:rsidP="00742264">
      <w:pPr>
        <w:jc w:val="both"/>
        <w:rPr>
          <w:lang w:val="ru-RU"/>
        </w:rPr>
      </w:pPr>
      <w:r w:rsidRPr="00FC1044">
        <w:rPr>
          <w:lang w:val="ru-RU"/>
        </w:rPr>
        <w:tab/>
        <w:t>Изражено у процентима, више ученика него претходне школске године је наставило школовање на русинском, словачком и румунском језику, док су ученици који су основну школу завршили на мађарском и хрватском наставном језику у нешто мањем проценту наставили да се шк</w:t>
      </w:r>
      <w:r w:rsidR="00645A72" w:rsidRPr="00FC1044">
        <w:rPr>
          <w:lang w:val="ru-RU"/>
        </w:rPr>
        <w:t>олују</w:t>
      </w:r>
      <w:r w:rsidRPr="00FC1044">
        <w:rPr>
          <w:lang w:val="ru-RU"/>
        </w:rPr>
        <w:t xml:space="preserve"> на матерњем језику. </w:t>
      </w:r>
    </w:p>
    <w:p w:rsidR="00A968D5" w:rsidRDefault="00A968D5" w:rsidP="00A968D5">
      <w:pPr>
        <w:ind w:firstLine="720"/>
        <w:jc w:val="both"/>
        <w:rPr>
          <w:lang w:val="sr-Cyrl-CS"/>
        </w:rPr>
      </w:pPr>
    </w:p>
    <w:p w:rsidR="00A968D5" w:rsidRDefault="00A968D5" w:rsidP="00A968D5">
      <w:pPr>
        <w:ind w:firstLine="720"/>
        <w:jc w:val="both"/>
        <w:rPr>
          <w:lang w:val="sr-Cyrl-CS"/>
        </w:rPr>
      </w:pPr>
    </w:p>
    <w:p w:rsidR="00A968D5" w:rsidRDefault="00A968D5" w:rsidP="00A968D5">
      <w:pPr>
        <w:ind w:firstLine="720"/>
        <w:jc w:val="both"/>
        <w:rPr>
          <w:lang w:val="sr-Cyrl-CS"/>
        </w:rPr>
      </w:pPr>
    </w:p>
    <w:p w:rsidR="00A968D5" w:rsidRDefault="00A968D5" w:rsidP="00A968D5">
      <w:pPr>
        <w:ind w:firstLine="720"/>
        <w:jc w:val="both"/>
        <w:rPr>
          <w:lang w:val="sr-Cyrl-CS"/>
        </w:rPr>
      </w:pPr>
    </w:p>
    <w:p w:rsidR="00A968D5" w:rsidRDefault="00A968D5" w:rsidP="00A968D5">
      <w:pPr>
        <w:ind w:firstLine="720"/>
        <w:jc w:val="both"/>
        <w:rPr>
          <w:lang w:val="sr-Cyrl-CS"/>
        </w:rPr>
      </w:pPr>
    </w:p>
    <w:p w:rsidR="00A968D5" w:rsidRDefault="00A968D5" w:rsidP="00A968D5">
      <w:pPr>
        <w:ind w:firstLine="720"/>
        <w:jc w:val="both"/>
        <w:rPr>
          <w:lang w:val="sr-Cyrl-CS"/>
        </w:rPr>
      </w:pPr>
    </w:p>
    <w:p w:rsidR="00A968D5" w:rsidRPr="002D4D8B" w:rsidRDefault="00A968D5" w:rsidP="00A968D5">
      <w:pPr>
        <w:ind w:firstLine="720"/>
        <w:jc w:val="both"/>
        <w:rPr>
          <w:lang w:val="sr-Cyrl-CS"/>
        </w:rPr>
      </w:pPr>
      <w:r w:rsidRPr="00933BBE">
        <w:rPr>
          <w:lang w:val="sr-Cyrl-CS"/>
        </w:rPr>
        <w:lastRenderedPageBreak/>
        <w:t>Графички приказ броја ученика припадника националних</w:t>
      </w:r>
      <w:r w:rsidR="00E16DDB">
        <w:rPr>
          <w:lang w:val="sr-Cyrl-CS"/>
        </w:rPr>
        <w:t xml:space="preserve"> мањина - националних</w:t>
      </w:r>
      <w:r w:rsidRPr="00933BBE">
        <w:rPr>
          <w:lang w:val="sr-Cyrl-CS"/>
        </w:rPr>
        <w:t xml:space="preserve"> </w:t>
      </w:r>
      <w:r>
        <w:rPr>
          <w:lang w:val="sr-Cyrl-CS"/>
        </w:rPr>
        <w:t>заједница,</w:t>
      </w:r>
      <w:r w:rsidRPr="00933BBE">
        <w:rPr>
          <w:lang w:val="sr-Cyrl-CS"/>
        </w:rPr>
        <w:t xml:space="preserve"> који су</w:t>
      </w:r>
      <w:r>
        <w:rPr>
          <w:lang w:val="sr-Cyrl-CS"/>
        </w:rPr>
        <w:t xml:space="preserve"> </w:t>
      </w:r>
      <w:r w:rsidRPr="00933BBE">
        <w:rPr>
          <w:lang w:val="sr-Cyrl-CS"/>
        </w:rPr>
        <w:t>након основног образовања наставили школовање на матерњем језику</w:t>
      </w:r>
      <w:r>
        <w:rPr>
          <w:lang w:val="sr-Cyrl-CS"/>
        </w:rPr>
        <w:t>,</w:t>
      </w:r>
      <w:r w:rsidRPr="00933BBE">
        <w:rPr>
          <w:lang w:val="sr-Cyrl-CS"/>
        </w:rPr>
        <w:t xml:space="preserve"> у школској 201</w:t>
      </w:r>
      <w:r w:rsidR="00E16DDB">
        <w:rPr>
          <w:lang w:val="sr-Cyrl-CS"/>
        </w:rPr>
        <w:t>4</w:t>
      </w:r>
      <w:r w:rsidRPr="00933BBE">
        <w:rPr>
          <w:lang w:val="sr-Cyrl-CS"/>
        </w:rPr>
        <w:t>/201</w:t>
      </w:r>
      <w:r w:rsidR="00E16DDB">
        <w:rPr>
          <w:lang w:val="sr-Cyrl-CS"/>
        </w:rPr>
        <w:t>5</w:t>
      </w:r>
      <w:r w:rsidRPr="00933BBE">
        <w:rPr>
          <w:lang w:val="sr-Cyrl-CS"/>
        </w:rPr>
        <w:t>. години:</w:t>
      </w:r>
    </w:p>
    <w:p w:rsidR="00A968D5" w:rsidRPr="002D4D8B" w:rsidRDefault="00A968D5" w:rsidP="00A968D5">
      <w:pPr>
        <w:ind w:firstLine="720"/>
        <w:jc w:val="both"/>
        <w:rPr>
          <w:lang w:val="sr-Cyrl-CS"/>
        </w:rPr>
      </w:pPr>
    </w:p>
    <w:p w:rsidR="00A968D5" w:rsidRPr="002D4D8B" w:rsidRDefault="00A968D5" w:rsidP="00A968D5">
      <w:pPr>
        <w:ind w:firstLine="720"/>
        <w:jc w:val="both"/>
        <w:rPr>
          <w:lang w:val="sr-Cyrl-CS"/>
        </w:rPr>
      </w:pPr>
    </w:p>
    <w:p w:rsidR="00A968D5" w:rsidRPr="00AE256D" w:rsidRDefault="00A968D5" w:rsidP="00A968D5">
      <w:pPr>
        <w:ind w:firstLine="720"/>
        <w:jc w:val="both"/>
      </w:pPr>
      <w:r>
        <w:rPr>
          <w:noProof/>
        </w:rPr>
        <w:drawing>
          <wp:inline distT="0" distB="0" distL="0" distR="0">
            <wp:extent cx="5057775" cy="3619500"/>
            <wp:effectExtent l="0" t="0" r="0" b="0"/>
            <wp:docPr id="8" name="Chart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A968D5" w:rsidRPr="00933BBE" w:rsidRDefault="00A968D5" w:rsidP="00A968D5">
      <w:pPr>
        <w:pStyle w:val="BodyTextIndent"/>
      </w:pPr>
      <w:r w:rsidRPr="00933BBE">
        <w:t xml:space="preserve">У средњим школама на територији АП Војводине није организована настава на ромском језику као језику националне </w:t>
      </w:r>
      <w:r>
        <w:t>заједнице</w:t>
      </w:r>
      <w:r w:rsidRPr="00933BBE">
        <w:t xml:space="preserve">. </w:t>
      </w:r>
    </w:p>
    <w:p w:rsidR="00A968D5" w:rsidRPr="00933BBE" w:rsidRDefault="00A968D5" w:rsidP="00A968D5">
      <w:pPr>
        <w:pStyle w:val="BodyTextIndent"/>
      </w:pPr>
    </w:p>
    <w:p w:rsidR="00A24DCA" w:rsidRDefault="00A968D5" w:rsidP="00A968D5">
      <w:pPr>
        <w:jc w:val="both"/>
        <w:rPr>
          <w:lang w:val="sr-Cyrl-RS"/>
        </w:rPr>
      </w:pPr>
      <w:r w:rsidRPr="003454F0">
        <w:rPr>
          <w:lang w:val="sr-Cyrl-CS"/>
        </w:rPr>
        <w:tab/>
        <w:t>У складу са Законом о средњој школи, ученици су обавезни да приликом</w:t>
      </w:r>
      <w:r w:rsidRPr="00A00DCE">
        <w:rPr>
          <w:lang w:val="sr-Cyrl-CS"/>
        </w:rPr>
        <w:t xml:space="preserve"> уписа у први разред изаберу један од </w:t>
      </w:r>
      <w:r w:rsidRPr="00A00DCE">
        <w:rPr>
          <w:b/>
          <w:bCs/>
          <w:lang w:val="sr-Cyrl-CS"/>
        </w:rPr>
        <w:t>изборних предмета</w:t>
      </w:r>
      <w:r w:rsidRPr="00A00DCE">
        <w:rPr>
          <w:lang w:val="sr-Cyrl-CS"/>
        </w:rPr>
        <w:t xml:space="preserve"> (</w:t>
      </w:r>
      <w:r w:rsidRPr="00A00DCE">
        <w:rPr>
          <w:i/>
          <w:iCs/>
          <w:lang w:val="sr-Cyrl-CS"/>
        </w:rPr>
        <w:t>верска настава</w:t>
      </w:r>
      <w:r w:rsidRPr="00A00DCE">
        <w:rPr>
          <w:lang w:val="sr-Cyrl-CS"/>
        </w:rPr>
        <w:t xml:space="preserve"> или </w:t>
      </w:r>
      <w:r w:rsidRPr="00A00DCE">
        <w:rPr>
          <w:i/>
          <w:iCs/>
          <w:lang w:val="sr-Cyrl-CS"/>
        </w:rPr>
        <w:t>предмет етичко-хуманистичког садржаја</w:t>
      </w:r>
      <w:r>
        <w:rPr>
          <w:i/>
          <w:iCs/>
          <w:lang w:val="sr-Cyrl-CS"/>
        </w:rPr>
        <w:t xml:space="preserve">, </w:t>
      </w:r>
      <w:r>
        <w:rPr>
          <w:iCs/>
          <w:lang w:val="sr-Cyrl-CS"/>
        </w:rPr>
        <w:t>то јест</w:t>
      </w:r>
      <w:r w:rsidRPr="00A00DCE">
        <w:rPr>
          <w:lang w:val="sr-Cyrl-CS"/>
        </w:rPr>
        <w:t xml:space="preserve"> </w:t>
      </w:r>
      <w:r w:rsidRPr="00A00DCE">
        <w:rPr>
          <w:i/>
          <w:iCs/>
          <w:lang w:val="sr-Cyrl-CS"/>
        </w:rPr>
        <w:t>грађанско васпитање</w:t>
      </w:r>
      <w:r w:rsidRPr="00A00DCE">
        <w:rPr>
          <w:lang w:val="sr-Cyrl-CS"/>
        </w:rPr>
        <w:t xml:space="preserve">). Од укупног броја ученика првог разреда средње школе који наставу похађају </w:t>
      </w:r>
      <w:r w:rsidRPr="00A00DCE">
        <w:rPr>
          <w:b/>
          <w:bCs/>
          <w:lang w:val="sr-Cyrl-CS"/>
        </w:rPr>
        <w:t>на српском језику</w:t>
      </w:r>
      <w:r w:rsidRPr="00A00DCE">
        <w:rPr>
          <w:lang w:val="sr-Cyrl-CS"/>
        </w:rPr>
        <w:t xml:space="preserve"> (</w:t>
      </w:r>
      <w:r w:rsidRPr="00A00DCE">
        <w:rPr>
          <w:lang w:val="ru-RU"/>
        </w:rPr>
        <w:t>1</w:t>
      </w:r>
      <w:r w:rsidR="00E16DDB">
        <w:rPr>
          <w:lang w:val="ru-RU"/>
        </w:rPr>
        <w:t>4</w:t>
      </w:r>
      <w:r w:rsidRPr="00A00DCE">
        <w:rPr>
          <w:lang w:val="sr-Cyrl-CS"/>
        </w:rPr>
        <w:t>.</w:t>
      </w:r>
      <w:r w:rsidR="00E16DDB">
        <w:rPr>
          <w:lang w:val="sr-Cyrl-CS"/>
        </w:rPr>
        <w:t>982</w:t>
      </w:r>
      <w:r w:rsidRPr="00A00DCE">
        <w:rPr>
          <w:lang w:val="sr-Cyrl-CS"/>
        </w:rPr>
        <w:t xml:space="preserve">), </w:t>
      </w:r>
      <w:r w:rsidRPr="00B22E84">
        <w:rPr>
          <w:b/>
          <w:lang w:val="sr-Cyrl-CS"/>
        </w:rPr>
        <w:t>7</w:t>
      </w:r>
      <w:r>
        <w:rPr>
          <w:b/>
          <w:lang w:val="ru-RU"/>
        </w:rPr>
        <w:t>.</w:t>
      </w:r>
      <w:r w:rsidR="00E16DDB">
        <w:rPr>
          <w:b/>
          <w:lang w:val="ru-RU"/>
        </w:rPr>
        <w:t>169</w:t>
      </w:r>
      <w:r w:rsidRPr="00A00DCE">
        <w:rPr>
          <w:b/>
          <w:lang w:val="sr-Cyrl-CS"/>
        </w:rPr>
        <w:t xml:space="preserve"> ученика</w:t>
      </w:r>
      <w:r w:rsidRPr="00A00DCE">
        <w:rPr>
          <w:lang w:val="sr-Cyrl-CS"/>
        </w:rPr>
        <w:t xml:space="preserve"> или </w:t>
      </w:r>
      <w:r w:rsidR="00E16DDB">
        <w:rPr>
          <w:b/>
          <w:bCs/>
          <w:lang w:val="sr-Cyrl-CS"/>
        </w:rPr>
        <w:t>47</w:t>
      </w:r>
      <w:r w:rsidRPr="00A00DCE">
        <w:rPr>
          <w:b/>
          <w:bCs/>
          <w:lang w:val="sr-Cyrl-CS"/>
        </w:rPr>
        <w:t>,</w:t>
      </w:r>
      <w:r w:rsidR="00E16DDB">
        <w:rPr>
          <w:b/>
          <w:bCs/>
          <w:lang w:val="sr-Cyrl-CS"/>
        </w:rPr>
        <w:t>85</w:t>
      </w:r>
      <w:r w:rsidRPr="00A00DCE">
        <w:rPr>
          <w:b/>
          <w:bCs/>
          <w:lang w:val="sr-Cyrl-CS"/>
        </w:rPr>
        <w:t>%</w:t>
      </w:r>
      <w:r w:rsidRPr="00A00DCE">
        <w:rPr>
          <w:lang w:val="sr-Cyrl-CS"/>
        </w:rPr>
        <w:t xml:space="preserve"> определило се за изборни предмет </w:t>
      </w:r>
      <w:r>
        <w:rPr>
          <w:lang w:val="sr-Cyrl-CS"/>
        </w:rPr>
        <w:t xml:space="preserve">– </w:t>
      </w:r>
      <w:r w:rsidRPr="00A00DCE">
        <w:rPr>
          <w:b/>
          <w:bCs/>
          <w:lang w:val="sr-Cyrl-CS"/>
        </w:rPr>
        <w:t>грађанско васпитање</w:t>
      </w:r>
      <w:r w:rsidRPr="00A00DCE">
        <w:rPr>
          <w:lang w:val="sr-Cyrl-CS"/>
        </w:rPr>
        <w:t xml:space="preserve">, а </w:t>
      </w:r>
      <w:r w:rsidRPr="00B22E84">
        <w:rPr>
          <w:b/>
          <w:lang w:val="sr-Cyrl-CS"/>
        </w:rPr>
        <w:t>7</w:t>
      </w:r>
      <w:r w:rsidRPr="00A00DCE">
        <w:rPr>
          <w:b/>
          <w:lang w:val="sr-Cyrl-CS"/>
        </w:rPr>
        <w:t>.</w:t>
      </w:r>
      <w:r w:rsidRPr="00B22E84">
        <w:rPr>
          <w:b/>
          <w:lang w:val="sr-Cyrl-CS"/>
        </w:rPr>
        <w:t>8</w:t>
      </w:r>
      <w:r w:rsidR="00E16DDB">
        <w:rPr>
          <w:b/>
          <w:lang w:val="sr-Cyrl-CS"/>
        </w:rPr>
        <w:t>13</w:t>
      </w:r>
      <w:r w:rsidRPr="00A00DCE">
        <w:rPr>
          <w:b/>
          <w:lang w:val="sr-Cyrl-CS"/>
        </w:rPr>
        <w:t xml:space="preserve"> ученика</w:t>
      </w:r>
      <w:r w:rsidRPr="00A00DCE">
        <w:rPr>
          <w:lang w:val="sr-Cyrl-CS"/>
        </w:rPr>
        <w:t xml:space="preserve"> (</w:t>
      </w:r>
      <w:r w:rsidR="00E16DDB">
        <w:rPr>
          <w:b/>
          <w:bCs/>
          <w:lang w:val="sr-Cyrl-CS"/>
        </w:rPr>
        <w:t>52</w:t>
      </w:r>
      <w:r w:rsidRPr="00A00DCE">
        <w:rPr>
          <w:b/>
          <w:bCs/>
          <w:lang w:val="sr-Cyrl-CS"/>
        </w:rPr>
        <w:t>,</w:t>
      </w:r>
      <w:r w:rsidR="00E16DDB">
        <w:rPr>
          <w:b/>
          <w:bCs/>
          <w:lang w:val="sr-Cyrl-CS"/>
        </w:rPr>
        <w:t>15</w:t>
      </w:r>
      <w:r w:rsidRPr="00A00DCE">
        <w:rPr>
          <w:b/>
          <w:bCs/>
          <w:lang w:val="sr-Cyrl-CS"/>
        </w:rPr>
        <w:t>%</w:t>
      </w:r>
      <w:r w:rsidRPr="00A00DCE">
        <w:rPr>
          <w:lang w:val="sr-Cyrl-CS"/>
        </w:rPr>
        <w:t xml:space="preserve">) за </w:t>
      </w:r>
      <w:r w:rsidRPr="00A00DCE">
        <w:rPr>
          <w:b/>
          <w:bCs/>
          <w:lang w:val="sr-Cyrl-CS"/>
        </w:rPr>
        <w:t>верску наставу</w:t>
      </w:r>
      <w:r w:rsidRPr="00A00DCE">
        <w:rPr>
          <w:lang w:val="sr-Cyrl-CS"/>
        </w:rPr>
        <w:t xml:space="preserve">. Од </w:t>
      </w:r>
      <w:r w:rsidRPr="00A00DCE">
        <w:rPr>
          <w:b/>
          <w:lang w:val="ru-RU"/>
        </w:rPr>
        <w:t>1</w:t>
      </w:r>
      <w:r w:rsidRPr="00A00DCE">
        <w:rPr>
          <w:b/>
          <w:lang w:val="sr-Cyrl-CS"/>
        </w:rPr>
        <w:t>.</w:t>
      </w:r>
      <w:r w:rsidR="00E16DDB">
        <w:rPr>
          <w:b/>
          <w:lang w:val="sr-Cyrl-CS"/>
        </w:rPr>
        <w:t>544</w:t>
      </w:r>
      <w:r w:rsidRPr="00A00DCE">
        <w:rPr>
          <w:b/>
          <w:lang w:val="ru-RU"/>
        </w:rPr>
        <w:t xml:space="preserve"> </w:t>
      </w:r>
      <w:r w:rsidRPr="00A00DCE">
        <w:rPr>
          <w:b/>
          <w:lang w:val="sr-Cyrl-CS"/>
        </w:rPr>
        <w:t>ученика</w:t>
      </w:r>
      <w:r w:rsidRPr="00A00DCE">
        <w:rPr>
          <w:lang w:val="sr-Cyrl-CS"/>
        </w:rPr>
        <w:t xml:space="preserve"> који наставу похађају </w:t>
      </w:r>
      <w:r w:rsidRPr="00A00DCE">
        <w:rPr>
          <w:b/>
          <w:bCs/>
          <w:lang w:val="sr-Cyrl-CS"/>
        </w:rPr>
        <w:t>на мађарском језику</w:t>
      </w:r>
      <w:r w:rsidRPr="00A00DCE">
        <w:rPr>
          <w:lang w:val="sr-Cyrl-CS"/>
        </w:rPr>
        <w:t xml:space="preserve">, </w:t>
      </w:r>
      <w:r w:rsidR="00E16DDB">
        <w:rPr>
          <w:b/>
          <w:lang w:val="sr-Cyrl-CS"/>
        </w:rPr>
        <w:t>705</w:t>
      </w:r>
      <w:r w:rsidRPr="00A00DCE">
        <w:rPr>
          <w:b/>
          <w:lang w:val="sr-Cyrl-CS"/>
        </w:rPr>
        <w:t xml:space="preserve"> ученика</w:t>
      </w:r>
      <w:r w:rsidRPr="00A00DCE">
        <w:rPr>
          <w:lang w:val="sr-Cyrl-CS"/>
        </w:rPr>
        <w:t xml:space="preserve"> или </w:t>
      </w:r>
      <w:r w:rsidRPr="00B22E84">
        <w:rPr>
          <w:b/>
          <w:lang w:val="sr-Cyrl-CS"/>
        </w:rPr>
        <w:t>4</w:t>
      </w:r>
      <w:r w:rsidR="00562952">
        <w:rPr>
          <w:b/>
          <w:lang w:val="sr-Cyrl-CS"/>
        </w:rPr>
        <w:t>5</w:t>
      </w:r>
      <w:r w:rsidRPr="00A00DCE">
        <w:rPr>
          <w:b/>
          <w:lang w:val="sr-Cyrl-CS"/>
        </w:rPr>
        <w:t>,</w:t>
      </w:r>
      <w:r w:rsidRPr="00B22E84">
        <w:rPr>
          <w:b/>
          <w:lang w:val="sr-Cyrl-CS"/>
        </w:rPr>
        <w:t>66</w:t>
      </w:r>
      <w:r w:rsidRPr="00A00DCE">
        <w:rPr>
          <w:b/>
          <w:bCs/>
          <w:lang w:val="sr-Cyrl-CS"/>
        </w:rPr>
        <w:t>%</w:t>
      </w:r>
      <w:r w:rsidRPr="00A00DCE">
        <w:rPr>
          <w:lang w:val="sr-Cyrl-CS"/>
        </w:rPr>
        <w:t xml:space="preserve"> определило се за </w:t>
      </w:r>
      <w:r w:rsidRPr="00A00DCE">
        <w:rPr>
          <w:b/>
          <w:bCs/>
          <w:lang w:val="sr-Cyrl-CS"/>
        </w:rPr>
        <w:t xml:space="preserve">грађанско васпитање, </w:t>
      </w:r>
      <w:r w:rsidRPr="00A00DCE">
        <w:rPr>
          <w:bCs/>
          <w:lang w:val="sr-Cyrl-CS"/>
        </w:rPr>
        <w:t xml:space="preserve">а </w:t>
      </w:r>
      <w:r w:rsidRPr="00B22E84">
        <w:rPr>
          <w:b/>
          <w:bCs/>
          <w:lang w:val="sr-Cyrl-CS"/>
        </w:rPr>
        <w:t>8</w:t>
      </w:r>
      <w:r w:rsidR="00A24DCA">
        <w:rPr>
          <w:b/>
          <w:bCs/>
          <w:lang w:val="sr-Cyrl-CS"/>
        </w:rPr>
        <w:t>39</w:t>
      </w:r>
      <w:r w:rsidRPr="00A00DCE">
        <w:rPr>
          <w:b/>
          <w:bCs/>
          <w:lang w:val="sr-Cyrl-CS"/>
        </w:rPr>
        <w:t xml:space="preserve"> ученика</w:t>
      </w:r>
      <w:r w:rsidRPr="00A00DCE">
        <w:rPr>
          <w:bCs/>
          <w:lang w:val="sr-Cyrl-CS"/>
        </w:rPr>
        <w:t xml:space="preserve"> или </w:t>
      </w:r>
      <w:r w:rsidRPr="00B22E84">
        <w:rPr>
          <w:b/>
          <w:bCs/>
          <w:lang w:val="sr-Cyrl-CS"/>
        </w:rPr>
        <w:t>5</w:t>
      </w:r>
      <w:r w:rsidR="00A24DCA">
        <w:rPr>
          <w:b/>
          <w:bCs/>
          <w:lang w:val="sr-Cyrl-CS"/>
        </w:rPr>
        <w:t>4</w:t>
      </w:r>
      <w:r w:rsidRPr="00A00DCE">
        <w:rPr>
          <w:b/>
          <w:bCs/>
          <w:lang w:val="sr-Cyrl-CS"/>
        </w:rPr>
        <w:t>,</w:t>
      </w:r>
      <w:r w:rsidR="00A24DCA">
        <w:rPr>
          <w:b/>
          <w:bCs/>
          <w:lang w:val="sr-Cyrl-CS"/>
        </w:rPr>
        <w:t>34</w:t>
      </w:r>
      <w:r w:rsidRPr="00A00DCE">
        <w:rPr>
          <w:b/>
          <w:bCs/>
          <w:lang w:val="sr-Cyrl-CS"/>
        </w:rPr>
        <w:t>%</w:t>
      </w:r>
      <w:r w:rsidRPr="00A00DCE">
        <w:rPr>
          <w:lang w:val="sr-Cyrl-CS"/>
        </w:rPr>
        <w:t xml:space="preserve">, за </w:t>
      </w:r>
      <w:r w:rsidRPr="00A00DCE">
        <w:rPr>
          <w:b/>
          <w:lang w:val="sr-Cyrl-CS"/>
        </w:rPr>
        <w:t>верску наставу</w:t>
      </w:r>
      <w:r w:rsidRPr="00A00DCE">
        <w:rPr>
          <w:lang w:val="sr-Cyrl-CS"/>
        </w:rPr>
        <w:t xml:space="preserve">. Од </w:t>
      </w:r>
      <w:r w:rsidRPr="00A00DCE">
        <w:rPr>
          <w:b/>
          <w:lang w:val="sr-Cyrl-CS"/>
        </w:rPr>
        <w:t>1</w:t>
      </w:r>
      <w:r w:rsidRPr="00B22E84">
        <w:rPr>
          <w:b/>
          <w:lang w:val="sr-Cyrl-CS"/>
        </w:rPr>
        <w:t>0</w:t>
      </w:r>
      <w:r w:rsidR="00A24DCA">
        <w:rPr>
          <w:b/>
          <w:lang w:val="sr-Cyrl-CS"/>
        </w:rPr>
        <w:t>3</w:t>
      </w:r>
      <w:r w:rsidRPr="00A00DCE">
        <w:rPr>
          <w:lang w:val="sr-Cyrl-CS"/>
        </w:rPr>
        <w:t xml:space="preserve"> ученика који наставу по</w:t>
      </w:r>
      <w:r>
        <w:rPr>
          <w:lang w:val="sr-Cyrl-CS"/>
        </w:rPr>
        <w:t>х</w:t>
      </w:r>
      <w:r w:rsidRPr="00A00DCE">
        <w:rPr>
          <w:lang w:val="sr-Cyrl-CS"/>
        </w:rPr>
        <w:t xml:space="preserve">ађају </w:t>
      </w:r>
      <w:r w:rsidRPr="00A00DCE">
        <w:rPr>
          <w:b/>
          <w:bCs/>
          <w:lang w:val="sr-Cyrl-CS"/>
        </w:rPr>
        <w:t>на словачком језику</w:t>
      </w:r>
      <w:r w:rsidRPr="00A00DCE">
        <w:rPr>
          <w:lang w:val="sr-Cyrl-CS"/>
        </w:rPr>
        <w:t xml:space="preserve">, </w:t>
      </w:r>
      <w:r w:rsidR="00A24DCA">
        <w:rPr>
          <w:b/>
          <w:lang w:val="sr-Cyrl-CS"/>
        </w:rPr>
        <w:t>88</w:t>
      </w:r>
      <w:r w:rsidRPr="00A00DCE">
        <w:rPr>
          <w:b/>
          <w:lang w:val="sr-Cyrl-CS"/>
        </w:rPr>
        <w:t xml:space="preserve"> ученика</w:t>
      </w:r>
      <w:r w:rsidRPr="00A00DCE">
        <w:rPr>
          <w:lang w:val="sr-Cyrl-CS"/>
        </w:rPr>
        <w:t xml:space="preserve"> или </w:t>
      </w:r>
      <w:r w:rsidR="00A24DCA">
        <w:rPr>
          <w:b/>
          <w:lang w:val="sr-Cyrl-CS"/>
        </w:rPr>
        <w:t>85,44</w:t>
      </w:r>
      <w:r w:rsidRPr="00A00DCE">
        <w:rPr>
          <w:b/>
          <w:lang w:val="sr-Cyrl-CS"/>
        </w:rPr>
        <w:t>%</w:t>
      </w:r>
      <w:r w:rsidRPr="00A00DCE">
        <w:rPr>
          <w:lang w:val="sr-Cyrl-CS"/>
        </w:rPr>
        <w:t xml:space="preserve"> определило се за </w:t>
      </w:r>
      <w:r w:rsidRPr="00A00DCE">
        <w:rPr>
          <w:b/>
          <w:bCs/>
          <w:lang w:val="sr-Cyrl-CS"/>
        </w:rPr>
        <w:t xml:space="preserve">грађанско васпитање, а </w:t>
      </w:r>
      <w:r w:rsidR="00A24DCA">
        <w:rPr>
          <w:b/>
          <w:bCs/>
          <w:lang w:val="sr-Cyrl-CS"/>
        </w:rPr>
        <w:t>15</w:t>
      </w:r>
      <w:r w:rsidRPr="00A00DCE">
        <w:rPr>
          <w:b/>
          <w:bCs/>
          <w:lang w:val="sr-Cyrl-CS"/>
        </w:rPr>
        <w:t xml:space="preserve"> ученика (</w:t>
      </w:r>
      <w:r w:rsidR="00A24DCA">
        <w:rPr>
          <w:b/>
          <w:bCs/>
          <w:lang w:val="sr-Cyrl-CS"/>
        </w:rPr>
        <w:t>14,56</w:t>
      </w:r>
      <w:r w:rsidRPr="00A00DCE">
        <w:rPr>
          <w:b/>
          <w:bCs/>
          <w:lang w:val="sr-Cyrl-CS"/>
        </w:rPr>
        <w:t xml:space="preserve">%) </w:t>
      </w:r>
      <w:r w:rsidRPr="00A00DCE">
        <w:rPr>
          <w:bCs/>
          <w:lang w:val="sr-Cyrl-CS"/>
        </w:rPr>
        <w:t>за</w:t>
      </w:r>
      <w:r w:rsidRPr="00933BBE">
        <w:rPr>
          <w:b/>
          <w:bCs/>
          <w:lang w:val="sr-Cyrl-CS"/>
        </w:rPr>
        <w:t xml:space="preserve"> верску наставу</w:t>
      </w:r>
      <w:r w:rsidRPr="00933BBE">
        <w:rPr>
          <w:lang w:val="sr-Cyrl-CS"/>
        </w:rPr>
        <w:t xml:space="preserve">. Од </w:t>
      </w:r>
      <w:r w:rsidR="00A24DCA">
        <w:rPr>
          <w:b/>
          <w:lang w:val="sr-Cyrl-CS"/>
        </w:rPr>
        <w:t>57</w:t>
      </w:r>
      <w:r w:rsidRPr="00933BBE">
        <w:rPr>
          <w:lang w:val="sr-Cyrl-CS"/>
        </w:rPr>
        <w:t xml:space="preserve"> ученика уписаних за наставу </w:t>
      </w:r>
      <w:r w:rsidRPr="00933BBE">
        <w:rPr>
          <w:b/>
          <w:lang w:val="sr-Cyrl-CS"/>
        </w:rPr>
        <w:t>на румунском језику</w:t>
      </w:r>
      <w:r w:rsidRPr="00933BBE">
        <w:rPr>
          <w:lang w:val="sr-Cyrl-CS"/>
        </w:rPr>
        <w:t xml:space="preserve">, </w:t>
      </w:r>
      <w:r w:rsidR="00A24DCA">
        <w:rPr>
          <w:b/>
          <w:lang w:val="sr-Cyrl-CS"/>
        </w:rPr>
        <w:t>20</w:t>
      </w:r>
      <w:r w:rsidRPr="00933BBE">
        <w:rPr>
          <w:b/>
          <w:lang w:val="sr-Cyrl-CS"/>
        </w:rPr>
        <w:t xml:space="preserve"> ученика (</w:t>
      </w:r>
      <w:r w:rsidRPr="00B22E84">
        <w:rPr>
          <w:b/>
          <w:lang w:val="sr-Cyrl-CS"/>
        </w:rPr>
        <w:t>3</w:t>
      </w:r>
      <w:r w:rsidR="00A24DCA">
        <w:rPr>
          <w:b/>
          <w:lang w:val="sr-Cyrl-CS"/>
        </w:rPr>
        <w:t>5</w:t>
      </w:r>
      <w:r w:rsidRPr="00933BBE">
        <w:rPr>
          <w:b/>
          <w:lang w:val="sr-Cyrl-CS"/>
        </w:rPr>
        <w:t>,</w:t>
      </w:r>
      <w:r w:rsidR="00A24DCA">
        <w:rPr>
          <w:b/>
          <w:lang w:val="sr-Cyrl-CS"/>
        </w:rPr>
        <w:t>09</w:t>
      </w:r>
      <w:r w:rsidRPr="00933BBE">
        <w:rPr>
          <w:b/>
          <w:lang w:val="sr-Cyrl-CS"/>
        </w:rPr>
        <w:t xml:space="preserve">%) </w:t>
      </w:r>
      <w:r w:rsidRPr="00933BBE">
        <w:rPr>
          <w:lang w:val="sr-Cyrl-CS"/>
        </w:rPr>
        <w:t>определило се за</w:t>
      </w:r>
      <w:r w:rsidRPr="00933BBE">
        <w:rPr>
          <w:b/>
          <w:lang w:val="sr-Cyrl-CS"/>
        </w:rPr>
        <w:t xml:space="preserve"> грађанско васпитање</w:t>
      </w:r>
      <w:r>
        <w:rPr>
          <w:b/>
          <w:lang w:val="sr-Cyrl-CS"/>
        </w:rPr>
        <w:t xml:space="preserve">, а </w:t>
      </w:r>
      <w:r w:rsidRPr="00B22E84">
        <w:rPr>
          <w:b/>
          <w:lang w:val="sr-Cyrl-CS"/>
        </w:rPr>
        <w:t>3</w:t>
      </w:r>
      <w:r w:rsidR="00A24DCA">
        <w:rPr>
          <w:b/>
          <w:lang w:val="sr-Cyrl-CS"/>
        </w:rPr>
        <w:t>7</w:t>
      </w:r>
      <w:r w:rsidRPr="00933BBE">
        <w:rPr>
          <w:b/>
          <w:lang w:val="sr-Cyrl-CS"/>
        </w:rPr>
        <w:t xml:space="preserve"> ученика</w:t>
      </w:r>
      <w:r w:rsidRPr="00933BBE">
        <w:rPr>
          <w:lang w:val="sr-Cyrl-CS"/>
        </w:rPr>
        <w:t xml:space="preserve"> или </w:t>
      </w:r>
      <w:r w:rsidRPr="00B22E84">
        <w:rPr>
          <w:b/>
          <w:lang w:val="sr-Cyrl-CS"/>
        </w:rPr>
        <w:t>6</w:t>
      </w:r>
      <w:r w:rsidR="00A24DCA">
        <w:rPr>
          <w:b/>
          <w:lang w:val="sr-Cyrl-CS"/>
        </w:rPr>
        <w:t>4</w:t>
      </w:r>
      <w:r w:rsidRPr="00933BBE">
        <w:rPr>
          <w:b/>
          <w:lang w:val="sr-Cyrl-CS"/>
        </w:rPr>
        <w:t>,</w:t>
      </w:r>
      <w:r w:rsidR="00A24DCA">
        <w:rPr>
          <w:b/>
          <w:lang w:val="sr-Cyrl-CS"/>
        </w:rPr>
        <w:t>91</w:t>
      </w:r>
      <w:r w:rsidRPr="00933BBE">
        <w:rPr>
          <w:b/>
          <w:lang w:val="sr-Cyrl-CS"/>
        </w:rPr>
        <w:t>%</w:t>
      </w:r>
      <w:r w:rsidRPr="00933BBE">
        <w:rPr>
          <w:lang w:val="sr-Cyrl-CS"/>
        </w:rPr>
        <w:t xml:space="preserve"> за </w:t>
      </w:r>
      <w:r w:rsidRPr="00933BBE">
        <w:rPr>
          <w:b/>
          <w:lang w:val="sr-Cyrl-CS"/>
        </w:rPr>
        <w:t>верску наставу.</w:t>
      </w:r>
      <w:r w:rsidRPr="00933BBE">
        <w:rPr>
          <w:lang w:val="sr-Cyrl-CS"/>
        </w:rPr>
        <w:t xml:space="preserve"> Од </w:t>
      </w:r>
      <w:r w:rsidR="00A24DCA">
        <w:rPr>
          <w:b/>
          <w:lang w:val="sr-Cyrl-CS"/>
        </w:rPr>
        <w:t>34</w:t>
      </w:r>
      <w:r w:rsidRPr="00933BBE">
        <w:rPr>
          <w:lang w:val="sr-Cyrl-CS"/>
        </w:rPr>
        <w:t xml:space="preserve"> ученика уписаних за наставу </w:t>
      </w:r>
      <w:r w:rsidRPr="00933BBE">
        <w:rPr>
          <w:b/>
          <w:lang w:val="sr-Cyrl-CS"/>
        </w:rPr>
        <w:t>на</w:t>
      </w:r>
      <w:r w:rsidRPr="00933BBE">
        <w:rPr>
          <w:lang w:val="sr-Cyrl-CS"/>
        </w:rPr>
        <w:t xml:space="preserve"> </w:t>
      </w:r>
      <w:r w:rsidRPr="00933BBE">
        <w:rPr>
          <w:b/>
          <w:lang w:val="sr-Cyrl-CS"/>
        </w:rPr>
        <w:t>хрватском језику</w:t>
      </w:r>
      <w:r w:rsidRPr="00933BBE">
        <w:rPr>
          <w:lang w:val="sr-Cyrl-CS"/>
        </w:rPr>
        <w:t xml:space="preserve">, </w:t>
      </w:r>
      <w:r w:rsidR="00A24DCA">
        <w:rPr>
          <w:b/>
          <w:lang w:val="sr-Cyrl-CS"/>
        </w:rPr>
        <w:t>8</w:t>
      </w:r>
      <w:r w:rsidRPr="00DF70BC">
        <w:rPr>
          <w:b/>
          <w:lang w:val="sr-Cyrl-CS"/>
        </w:rPr>
        <w:t xml:space="preserve"> </w:t>
      </w:r>
      <w:r>
        <w:rPr>
          <w:b/>
          <w:lang w:val="sr-Cyrl-CS"/>
        </w:rPr>
        <w:t>ученика (</w:t>
      </w:r>
      <w:r w:rsidR="00A24DCA">
        <w:rPr>
          <w:b/>
          <w:lang w:val="sr-Cyrl-CS"/>
        </w:rPr>
        <w:t>23,53</w:t>
      </w:r>
      <w:r w:rsidRPr="00933BBE">
        <w:rPr>
          <w:b/>
          <w:lang w:val="sr-Cyrl-CS"/>
        </w:rPr>
        <w:t xml:space="preserve">%) </w:t>
      </w:r>
      <w:r w:rsidRPr="00933BBE">
        <w:rPr>
          <w:lang w:val="sr-Cyrl-CS"/>
        </w:rPr>
        <w:t>определило</w:t>
      </w:r>
      <w:r w:rsidRPr="00933BBE">
        <w:rPr>
          <w:b/>
          <w:lang w:val="sr-Cyrl-CS"/>
        </w:rPr>
        <w:t xml:space="preserve"> </w:t>
      </w:r>
      <w:r w:rsidRPr="00933BBE">
        <w:rPr>
          <w:lang w:val="sr-Cyrl-CS"/>
        </w:rPr>
        <w:t>се</w:t>
      </w:r>
      <w:r w:rsidRPr="00933BBE">
        <w:rPr>
          <w:b/>
          <w:lang w:val="sr-Cyrl-CS"/>
        </w:rPr>
        <w:t xml:space="preserve"> за грађанско васпитање</w:t>
      </w:r>
      <w:r>
        <w:rPr>
          <w:b/>
          <w:lang w:val="sr-Cyrl-CS"/>
        </w:rPr>
        <w:t xml:space="preserve">, а </w:t>
      </w:r>
      <w:r w:rsidR="00A24DCA">
        <w:rPr>
          <w:b/>
          <w:lang w:val="sr-Cyrl-CS"/>
        </w:rPr>
        <w:t>2</w:t>
      </w:r>
      <w:r w:rsidRPr="00B22E84">
        <w:rPr>
          <w:b/>
          <w:lang w:val="sr-Cyrl-CS"/>
        </w:rPr>
        <w:t>6</w:t>
      </w:r>
      <w:r w:rsidRPr="00933BBE">
        <w:rPr>
          <w:b/>
          <w:lang w:val="sr-Cyrl-CS"/>
        </w:rPr>
        <w:t xml:space="preserve"> ученика</w:t>
      </w:r>
      <w:r w:rsidRPr="00933BBE">
        <w:rPr>
          <w:lang w:val="sr-Cyrl-CS"/>
        </w:rPr>
        <w:t xml:space="preserve"> или </w:t>
      </w:r>
      <w:r w:rsidR="00A24DCA">
        <w:rPr>
          <w:b/>
          <w:lang w:val="sr-Cyrl-CS"/>
        </w:rPr>
        <w:t>76,47</w:t>
      </w:r>
      <w:r w:rsidRPr="00933BBE">
        <w:rPr>
          <w:b/>
          <w:lang w:val="sr-Cyrl-CS"/>
        </w:rPr>
        <w:t>%</w:t>
      </w:r>
      <w:r w:rsidRPr="00933BBE">
        <w:rPr>
          <w:lang w:val="sr-Cyrl-CS"/>
        </w:rPr>
        <w:t xml:space="preserve"> за </w:t>
      </w:r>
      <w:r w:rsidRPr="00933BBE">
        <w:rPr>
          <w:b/>
          <w:lang w:val="sr-Cyrl-CS"/>
        </w:rPr>
        <w:t>верску наставу.</w:t>
      </w:r>
      <w:r w:rsidRPr="00933BBE">
        <w:rPr>
          <w:lang w:val="sr-Cyrl-CS"/>
        </w:rPr>
        <w:t xml:space="preserve"> Од </w:t>
      </w:r>
      <w:r w:rsidRPr="00A00DCE">
        <w:rPr>
          <w:b/>
          <w:lang w:val="sr-Cyrl-CS"/>
        </w:rPr>
        <w:t>1</w:t>
      </w:r>
      <w:r w:rsidR="00A24DCA">
        <w:rPr>
          <w:b/>
          <w:lang w:val="sr-Cyrl-CS"/>
        </w:rPr>
        <w:t>3</w:t>
      </w:r>
      <w:r w:rsidRPr="00933BBE">
        <w:rPr>
          <w:lang w:val="sr-Cyrl-CS"/>
        </w:rPr>
        <w:t xml:space="preserve"> ученика који наставу похађају </w:t>
      </w:r>
      <w:r w:rsidRPr="00933BBE">
        <w:rPr>
          <w:b/>
          <w:lang w:val="sr-Cyrl-CS"/>
        </w:rPr>
        <w:t>на русинском језику</w:t>
      </w:r>
      <w:r>
        <w:rPr>
          <w:b/>
          <w:lang w:val="sr-Cyrl-CS"/>
        </w:rPr>
        <w:t xml:space="preserve">, </w:t>
      </w:r>
      <w:r w:rsidR="00A24DCA">
        <w:rPr>
          <w:b/>
          <w:lang w:val="sr-Cyrl-RS"/>
        </w:rPr>
        <w:t>пет</w:t>
      </w:r>
      <w:r w:rsidRPr="00933BBE">
        <w:rPr>
          <w:b/>
          <w:lang w:val="sr-Cyrl-CS"/>
        </w:rPr>
        <w:t xml:space="preserve"> ученика </w:t>
      </w:r>
      <w:r w:rsidRPr="00933BBE">
        <w:rPr>
          <w:lang w:val="sr-Cyrl-CS"/>
        </w:rPr>
        <w:t>или</w:t>
      </w:r>
      <w:r>
        <w:rPr>
          <w:b/>
          <w:lang w:val="sr-Cyrl-CS"/>
        </w:rPr>
        <w:t xml:space="preserve"> </w:t>
      </w:r>
      <w:r w:rsidR="00A24DCA">
        <w:rPr>
          <w:b/>
          <w:lang w:val="sr-Cyrl-CS"/>
        </w:rPr>
        <w:t>38</w:t>
      </w:r>
      <w:r w:rsidRPr="00B22E84">
        <w:rPr>
          <w:b/>
          <w:lang w:val="sr-Cyrl-CS"/>
        </w:rPr>
        <w:t>,</w:t>
      </w:r>
      <w:r w:rsidR="00A24DCA">
        <w:rPr>
          <w:b/>
          <w:lang w:val="sr-Cyrl-CS"/>
        </w:rPr>
        <w:t>46</w:t>
      </w:r>
      <w:r w:rsidRPr="00933BBE">
        <w:rPr>
          <w:b/>
          <w:lang w:val="sr-Cyrl-CS"/>
        </w:rPr>
        <w:t>%</w:t>
      </w:r>
      <w:r w:rsidRPr="00933BBE">
        <w:rPr>
          <w:lang w:val="sr-Cyrl-CS"/>
        </w:rPr>
        <w:t xml:space="preserve"> определило се за </w:t>
      </w:r>
      <w:r w:rsidRPr="00933BBE">
        <w:rPr>
          <w:b/>
          <w:lang w:val="sr-Cyrl-CS"/>
        </w:rPr>
        <w:t>грађанско васпитање</w:t>
      </w:r>
      <w:r w:rsidRPr="00933BBE">
        <w:rPr>
          <w:lang w:val="sr-Cyrl-CS"/>
        </w:rPr>
        <w:t xml:space="preserve">, а </w:t>
      </w:r>
      <w:r w:rsidR="00A24DCA">
        <w:rPr>
          <w:b/>
          <w:lang w:val="sr-Cyrl-CS"/>
        </w:rPr>
        <w:t>осам</w:t>
      </w:r>
      <w:r>
        <w:rPr>
          <w:b/>
          <w:lang w:val="sr-Cyrl-CS"/>
        </w:rPr>
        <w:t xml:space="preserve"> </w:t>
      </w:r>
      <w:r w:rsidRPr="00933BBE">
        <w:rPr>
          <w:b/>
          <w:lang w:val="sr-Cyrl-CS"/>
        </w:rPr>
        <w:t>ученика</w:t>
      </w:r>
      <w:r w:rsidRPr="00933BBE">
        <w:rPr>
          <w:lang w:val="sr-Cyrl-CS"/>
        </w:rPr>
        <w:t xml:space="preserve"> или </w:t>
      </w:r>
      <w:r w:rsidR="00A24DCA">
        <w:rPr>
          <w:b/>
          <w:lang w:val="sr-Cyrl-CS"/>
        </w:rPr>
        <w:t>61</w:t>
      </w:r>
      <w:r w:rsidRPr="00B22E84">
        <w:rPr>
          <w:b/>
          <w:lang w:val="sr-Cyrl-CS"/>
        </w:rPr>
        <w:t>,</w:t>
      </w:r>
      <w:r w:rsidR="00A24DCA">
        <w:rPr>
          <w:b/>
          <w:lang w:val="sr-Cyrl-CS"/>
        </w:rPr>
        <w:t>54</w:t>
      </w:r>
      <w:r w:rsidRPr="00933BBE">
        <w:rPr>
          <w:b/>
          <w:lang w:val="sr-Cyrl-CS"/>
        </w:rPr>
        <w:t xml:space="preserve">% </w:t>
      </w:r>
      <w:r w:rsidRPr="00933BBE">
        <w:rPr>
          <w:lang w:val="sr-Cyrl-CS"/>
        </w:rPr>
        <w:t>за</w:t>
      </w:r>
      <w:r w:rsidRPr="00933BBE">
        <w:rPr>
          <w:b/>
          <w:lang w:val="sr-Cyrl-CS"/>
        </w:rPr>
        <w:t xml:space="preserve"> верску наставу</w:t>
      </w:r>
      <w:r w:rsidRPr="00933BBE">
        <w:rPr>
          <w:lang w:val="sr-Cyrl-CS"/>
        </w:rPr>
        <w:t xml:space="preserve">. </w:t>
      </w:r>
      <w:r w:rsidR="00A24DCA">
        <w:rPr>
          <w:lang w:val="sr-Cyrl-CS"/>
        </w:rPr>
        <w:t xml:space="preserve">Као и претходне школске године, на мађарском и румунском наставном језику је већи број ученика опредељених за </w:t>
      </w:r>
      <w:r w:rsidR="00724B62">
        <w:rPr>
          <w:lang w:val="sr-Cyrl-CS"/>
        </w:rPr>
        <w:t>верску наставу</w:t>
      </w:r>
      <w:r w:rsidR="00A24DCA">
        <w:rPr>
          <w:lang w:val="sr-Cyrl-CS"/>
        </w:rPr>
        <w:t>, док н</w:t>
      </w:r>
      <w:r w:rsidR="00724B62">
        <w:rPr>
          <w:lang w:val="sr-Cyrl-CS"/>
        </w:rPr>
        <w:t>а словачком више ученика похађа</w:t>
      </w:r>
      <w:r w:rsidR="00A24DCA">
        <w:rPr>
          <w:lang w:val="sr-Cyrl-CS"/>
        </w:rPr>
        <w:t xml:space="preserve"> </w:t>
      </w:r>
      <w:r w:rsidR="00724B62">
        <w:rPr>
          <w:lang w:val="sr-Cyrl-CS"/>
        </w:rPr>
        <w:t>грађанско васпитање</w:t>
      </w:r>
      <w:r w:rsidR="00A24DCA">
        <w:rPr>
          <w:lang w:val="sr-Cyrl-CS"/>
        </w:rPr>
        <w:t xml:space="preserve">. </w:t>
      </w:r>
      <w:r w:rsidR="00724B62">
        <w:rPr>
          <w:lang w:val="sr-Cyrl-CS"/>
        </w:rPr>
        <w:t xml:space="preserve">Ове школске године се за разлику од претходне, </w:t>
      </w:r>
      <w:r w:rsidR="00A24DCA">
        <w:rPr>
          <w:lang w:val="sr-Cyrl-CS"/>
        </w:rPr>
        <w:t>на</w:t>
      </w:r>
      <w:r w:rsidR="00A24DCA">
        <w:rPr>
          <w:lang w:val="sr-Cyrl-RS"/>
        </w:rPr>
        <w:t xml:space="preserve"> српском, хрватском и русинском језику више ученика опреде</w:t>
      </w:r>
      <w:r w:rsidR="00724B62">
        <w:rPr>
          <w:lang w:val="sr-Cyrl-RS"/>
        </w:rPr>
        <w:t>лило</w:t>
      </w:r>
      <w:r w:rsidR="00A24DCA">
        <w:rPr>
          <w:lang w:val="sr-Cyrl-RS"/>
        </w:rPr>
        <w:t xml:space="preserve"> за верску наставу</w:t>
      </w:r>
      <w:r w:rsidR="00724B62">
        <w:rPr>
          <w:lang w:val="sr-Cyrl-RS"/>
        </w:rPr>
        <w:t>.</w:t>
      </w:r>
      <w:r w:rsidR="00A24DCA">
        <w:rPr>
          <w:lang w:val="sr-Cyrl-RS"/>
        </w:rPr>
        <w:t xml:space="preserve"> </w:t>
      </w:r>
    </w:p>
    <w:p w:rsidR="00A968D5" w:rsidRPr="00933BBE" w:rsidRDefault="00A968D5" w:rsidP="00A968D5">
      <w:pPr>
        <w:jc w:val="center"/>
        <w:rPr>
          <w:lang w:val="ru-RU"/>
        </w:rPr>
      </w:pPr>
    </w:p>
    <w:p w:rsidR="00A968D5" w:rsidRPr="00933BBE" w:rsidRDefault="00A968D5" w:rsidP="00A968D5">
      <w:pPr>
        <w:jc w:val="center"/>
        <w:rPr>
          <w:lang w:val="ru-RU"/>
        </w:rPr>
      </w:pPr>
    </w:p>
    <w:p w:rsidR="00A968D5" w:rsidRPr="00933BBE" w:rsidRDefault="00A968D5" w:rsidP="00A968D5">
      <w:pPr>
        <w:jc w:val="center"/>
        <w:rPr>
          <w:lang w:val="ru-RU"/>
        </w:rPr>
      </w:pPr>
    </w:p>
    <w:p w:rsidR="00A968D5" w:rsidRPr="00190300" w:rsidRDefault="00A968D5" w:rsidP="00A968D5">
      <w:pPr>
        <w:jc w:val="center"/>
        <w:rPr>
          <w:b/>
          <w:bCs/>
          <w:lang w:val="sr-Cyrl-CS"/>
        </w:rPr>
      </w:pPr>
      <w:r w:rsidRPr="00190300">
        <w:rPr>
          <w:b/>
          <w:bCs/>
          <w:lang w:val="sr-Cyrl-CS"/>
        </w:rPr>
        <w:lastRenderedPageBreak/>
        <w:t>2.</w:t>
      </w:r>
      <w:r w:rsidRPr="00190300">
        <w:rPr>
          <w:lang w:val="sr-Cyrl-CS"/>
        </w:rPr>
        <w:t xml:space="preserve"> </w:t>
      </w:r>
      <w:r w:rsidRPr="00190300">
        <w:rPr>
          <w:b/>
          <w:bCs/>
          <w:lang w:val="sr-Cyrl-CS"/>
        </w:rPr>
        <w:t>УПИС УЧЕНИКА У ПРВИ РАЗРЕД СРЕДЊИХ ШКОЛА У</w:t>
      </w:r>
    </w:p>
    <w:p w:rsidR="00A968D5" w:rsidRPr="00190300" w:rsidRDefault="00A968D5" w:rsidP="00A968D5">
      <w:pPr>
        <w:pStyle w:val="Heading2"/>
      </w:pPr>
      <w:r w:rsidRPr="00190300">
        <w:t>ТРОГОДИШЊЕМ ТРАЈАЊУ</w:t>
      </w:r>
    </w:p>
    <w:p w:rsidR="00A968D5" w:rsidRDefault="00A968D5" w:rsidP="00A968D5">
      <w:pPr>
        <w:jc w:val="both"/>
        <w:rPr>
          <w:color w:val="76923C"/>
          <w:lang w:val="sr-Cyrl-CS"/>
        </w:rPr>
      </w:pPr>
    </w:p>
    <w:p w:rsidR="00C330E4" w:rsidRPr="00886256" w:rsidRDefault="00C330E4" w:rsidP="00A968D5">
      <w:pPr>
        <w:jc w:val="both"/>
        <w:rPr>
          <w:color w:val="76923C"/>
          <w:lang w:val="sr-Cyrl-CS"/>
        </w:rPr>
      </w:pPr>
    </w:p>
    <w:p w:rsidR="00A968D5" w:rsidRPr="00933BBE" w:rsidRDefault="00A968D5" w:rsidP="00A968D5">
      <w:pPr>
        <w:jc w:val="both"/>
        <w:rPr>
          <w:lang w:val="sr-Cyrl-CS"/>
        </w:rPr>
      </w:pPr>
    </w:p>
    <w:p w:rsidR="00A968D5" w:rsidRPr="00933BBE" w:rsidRDefault="00A968D5" w:rsidP="00A968D5">
      <w:pPr>
        <w:jc w:val="both"/>
        <w:rPr>
          <w:lang w:val="sr-Cyrl-CS"/>
        </w:rPr>
      </w:pPr>
      <w:r w:rsidRPr="00933BBE">
        <w:rPr>
          <w:lang w:val="sr-Cyrl-CS"/>
        </w:rPr>
        <w:tab/>
        <w:t xml:space="preserve">У АП Војводини у </w:t>
      </w:r>
      <w:r w:rsidRPr="00933BBE">
        <w:rPr>
          <w:b/>
          <w:bCs/>
          <w:lang w:val="sr-Cyrl-CS"/>
        </w:rPr>
        <w:t>75 средњ</w:t>
      </w:r>
      <w:r>
        <w:rPr>
          <w:b/>
          <w:bCs/>
          <w:lang w:val="sr-Cyrl-CS"/>
        </w:rPr>
        <w:t>их</w:t>
      </w:r>
      <w:r w:rsidRPr="00933BBE">
        <w:rPr>
          <w:b/>
          <w:bCs/>
          <w:lang w:val="sr-Cyrl-CS"/>
        </w:rPr>
        <w:t xml:space="preserve"> школ</w:t>
      </w:r>
      <w:r>
        <w:rPr>
          <w:b/>
          <w:bCs/>
          <w:lang w:val="sr-Cyrl-CS"/>
        </w:rPr>
        <w:t>а,</w:t>
      </w:r>
      <w:r w:rsidRPr="00933BBE">
        <w:rPr>
          <w:b/>
          <w:bCs/>
          <w:lang w:val="sr-Cyrl-CS"/>
        </w:rPr>
        <w:t xml:space="preserve"> </w:t>
      </w:r>
      <w:r w:rsidRPr="00933BBE">
        <w:rPr>
          <w:lang w:val="sr-Cyrl-CS"/>
        </w:rPr>
        <w:t xml:space="preserve">уписани су ученици у први разред </w:t>
      </w:r>
      <w:r w:rsidRPr="00933BBE">
        <w:rPr>
          <w:b/>
          <w:bCs/>
          <w:lang w:val="sr-Cyrl-CS"/>
        </w:rPr>
        <w:t>трогодишњег образовања</w:t>
      </w:r>
      <w:r w:rsidRPr="00933BBE">
        <w:rPr>
          <w:lang w:val="sr-Cyrl-CS"/>
        </w:rPr>
        <w:t xml:space="preserve"> за образовне профиле </w:t>
      </w:r>
      <w:r w:rsidRPr="00933BBE">
        <w:rPr>
          <w:b/>
          <w:bCs/>
          <w:lang w:val="sr-Cyrl-CS"/>
        </w:rPr>
        <w:t>11 подручја рада.</w:t>
      </w:r>
      <w:r w:rsidRPr="00933BBE">
        <w:rPr>
          <w:lang w:val="ru-RU"/>
        </w:rPr>
        <w:t xml:space="preserve"> </w:t>
      </w:r>
      <w:r w:rsidRPr="00933BBE">
        <w:rPr>
          <w:lang w:val="sr-Cyrl-CS"/>
        </w:rPr>
        <w:t>Т</w:t>
      </w:r>
      <w:r w:rsidRPr="00933BBE">
        <w:rPr>
          <w:lang w:val="ru-RU"/>
        </w:rPr>
        <w:t>рогодишње образовање организовано је на српском</w:t>
      </w:r>
      <w:r>
        <w:rPr>
          <w:lang w:val="sr-Cyrl-RS"/>
        </w:rPr>
        <w:t xml:space="preserve"> и </w:t>
      </w:r>
      <w:r w:rsidRPr="00933BBE">
        <w:rPr>
          <w:lang w:val="ru-RU"/>
        </w:rPr>
        <w:t>мађарском наставном језику.</w:t>
      </w:r>
    </w:p>
    <w:p w:rsidR="00A968D5" w:rsidRPr="00933BBE" w:rsidRDefault="00A968D5" w:rsidP="00A968D5">
      <w:pPr>
        <w:jc w:val="both"/>
        <w:rPr>
          <w:b/>
          <w:bCs/>
          <w:lang w:val="sr-Cyrl-CS"/>
        </w:rPr>
      </w:pPr>
    </w:p>
    <w:p w:rsidR="00A968D5" w:rsidRDefault="00A968D5" w:rsidP="00A968D5">
      <w:pPr>
        <w:jc w:val="both"/>
        <w:rPr>
          <w:lang w:val="sr-Cyrl-CS"/>
        </w:rPr>
      </w:pPr>
      <w:r w:rsidRPr="00933BBE">
        <w:rPr>
          <w:lang w:val="sr-Cyrl-CS"/>
        </w:rPr>
        <w:tab/>
      </w:r>
      <w:r w:rsidRPr="00933BBE">
        <w:rPr>
          <w:b/>
          <w:bCs/>
          <w:lang w:val="sr-Cyrl-CS"/>
        </w:rPr>
        <w:t>Упис</w:t>
      </w:r>
      <w:r w:rsidRPr="00933BBE">
        <w:rPr>
          <w:lang w:val="sr-Cyrl-CS"/>
        </w:rPr>
        <w:t xml:space="preserve"> ученика у први разред </w:t>
      </w:r>
      <w:r w:rsidRPr="00933BBE">
        <w:rPr>
          <w:b/>
          <w:bCs/>
          <w:lang w:val="sr-Cyrl-CS"/>
        </w:rPr>
        <w:t>трогодишње школе</w:t>
      </w:r>
      <w:r w:rsidRPr="00933BBE">
        <w:rPr>
          <w:lang w:val="sr-Cyrl-CS"/>
        </w:rPr>
        <w:t xml:space="preserve"> </w:t>
      </w:r>
      <w:r w:rsidRPr="00933BBE">
        <w:rPr>
          <w:b/>
          <w:bCs/>
          <w:lang w:val="sr-Cyrl-CS"/>
        </w:rPr>
        <w:t xml:space="preserve">реализован </w:t>
      </w:r>
      <w:r w:rsidRPr="00933BBE">
        <w:rPr>
          <w:lang w:val="sr-Cyrl-CS"/>
        </w:rPr>
        <w:t>је</w:t>
      </w:r>
      <w:r w:rsidRPr="00933BBE">
        <w:rPr>
          <w:b/>
          <w:bCs/>
          <w:lang w:val="sr-Cyrl-CS"/>
        </w:rPr>
        <w:t xml:space="preserve"> са </w:t>
      </w:r>
      <w:r>
        <w:rPr>
          <w:b/>
          <w:bCs/>
          <w:lang w:val="ru-RU"/>
        </w:rPr>
        <w:t>7</w:t>
      </w:r>
      <w:r w:rsidR="00190300">
        <w:rPr>
          <w:b/>
          <w:bCs/>
          <w:lang w:val="ru-RU"/>
        </w:rPr>
        <w:t>0</w:t>
      </w:r>
      <w:r w:rsidRPr="00933BBE">
        <w:rPr>
          <w:b/>
          <w:bCs/>
          <w:lang w:val="sr-Cyrl-CS"/>
        </w:rPr>
        <w:t>%</w:t>
      </w:r>
      <w:r w:rsidRPr="00933BBE">
        <w:rPr>
          <w:lang w:val="sr-Cyrl-CS"/>
        </w:rPr>
        <w:t xml:space="preserve">, јер је на </w:t>
      </w:r>
      <w:r>
        <w:rPr>
          <w:b/>
          <w:lang w:val="sr-Cyrl-CS"/>
        </w:rPr>
        <w:t>3</w:t>
      </w:r>
      <w:r w:rsidRPr="004E5D4B">
        <w:rPr>
          <w:b/>
          <w:lang w:val="sr-Cyrl-CS"/>
        </w:rPr>
        <w:t>.</w:t>
      </w:r>
      <w:r w:rsidR="00190300">
        <w:rPr>
          <w:b/>
          <w:lang w:val="sr-Cyrl-CS"/>
        </w:rPr>
        <w:t>720</w:t>
      </w:r>
      <w:r w:rsidRPr="00933BBE">
        <w:rPr>
          <w:b/>
          <w:lang w:val="sr-Cyrl-CS"/>
        </w:rPr>
        <w:t xml:space="preserve"> мест</w:t>
      </w:r>
      <w:r>
        <w:rPr>
          <w:b/>
          <w:lang w:val="sr-Cyrl-CS"/>
        </w:rPr>
        <w:t>а</w:t>
      </w:r>
      <w:r w:rsidRPr="00933BBE">
        <w:rPr>
          <w:lang w:val="sr-Cyrl-CS"/>
        </w:rPr>
        <w:t xml:space="preserve"> уписано </w:t>
      </w:r>
      <w:r>
        <w:rPr>
          <w:b/>
          <w:lang w:val="ru-RU"/>
        </w:rPr>
        <w:t>2</w:t>
      </w:r>
      <w:r w:rsidRPr="00933BBE">
        <w:rPr>
          <w:b/>
          <w:bCs/>
          <w:lang w:val="sr-Cyrl-CS"/>
        </w:rPr>
        <w:t>.</w:t>
      </w:r>
      <w:r w:rsidR="00190300">
        <w:rPr>
          <w:b/>
          <w:bCs/>
          <w:lang w:val="sr-Cyrl-CS"/>
        </w:rPr>
        <w:t>606</w:t>
      </w:r>
      <w:r w:rsidRPr="00933BBE">
        <w:rPr>
          <w:b/>
          <w:bCs/>
          <w:lang w:val="sr-Cyrl-CS"/>
        </w:rPr>
        <w:t xml:space="preserve"> ученик</w:t>
      </w:r>
      <w:r>
        <w:rPr>
          <w:b/>
          <w:bCs/>
        </w:rPr>
        <w:t>a</w:t>
      </w:r>
      <w:r w:rsidRPr="00933BBE">
        <w:rPr>
          <w:lang w:val="sr-Cyrl-CS"/>
        </w:rPr>
        <w:t xml:space="preserve">, који су распоређени у </w:t>
      </w:r>
      <w:r>
        <w:rPr>
          <w:b/>
          <w:lang w:val="ru-RU"/>
        </w:rPr>
        <w:t>12</w:t>
      </w:r>
      <w:r w:rsidR="00190300">
        <w:rPr>
          <w:b/>
          <w:lang w:val="ru-RU"/>
        </w:rPr>
        <w:t>3</w:t>
      </w:r>
      <w:r w:rsidRPr="00933BBE">
        <w:rPr>
          <w:b/>
          <w:bCs/>
          <w:lang w:val="sr-Cyrl-CS"/>
        </w:rPr>
        <w:t xml:space="preserve"> одељењ</w:t>
      </w:r>
      <w:r w:rsidR="00190300">
        <w:rPr>
          <w:b/>
          <w:bCs/>
          <w:lang w:val="sr-Cyrl-CS"/>
        </w:rPr>
        <w:t>а</w:t>
      </w:r>
      <w:r w:rsidRPr="00933BBE">
        <w:rPr>
          <w:lang w:val="sr-Cyrl-CS"/>
        </w:rPr>
        <w:t>. Просечан број ученика у одељењу је око 2</w:t>
      </w:r>
      <w:r>
        <w:rPr>
          <w:lang w:val="sr-Cyrl-CS"/>
        </w:rPr>
        <w:t>2</w:t>
      </w:r>
      <w:r w:rsidRPr="00933BBE">
        <w:rPr>
          <w:lang w:val="sr-Cyrl-CS"/>
        </w:rPr>
        <w:t>.</w:t>
      </w:r>
      <w:r w:rsidRPr="00933BBE">
        <w:rPr>
          <w:lang w:val="ru-RU"/>
        </w:rPr>
        <w:t xml:space="preserve"> </w:t>
      </w:r>
      <w:r w:rsidRPr="00933BBE">
        <w:rPr>
          <w:lang w:val="sr-Cyrl-CS"/>
        </w:rPr>
        <w:t>У односу на претходну школску годину, за трогодишње образовање планиран</w:t>
      </w:r>
      <w:r>
        <w:rPr>
          <w:lang w:val="sr-Cyrl-CS"/>
        </w:rPr>
        <w:t>а</w:t>
      </w:r>
      <w:r w:rsidRPr="00933BBE">
        <w:rPr>
          <w:lang w:val="sr-Cyrl-CS"/>
        </w:rPr>
        <w:t xml:space="preserve"> </w:t>
      </w:r>
      <w:r>
        <w:rPr>
          <w:lang w:val="sr-Cyrl-CS"/>
        </w:rPr>
        <w:t>су</w:t>
      </w:r>
      <w:r>
        <w:rPr>
          <w:b/>
          <w:lang w:val="ru-RU"/>
        </w:rPr>
        <w:t xml:space="preserve"> </w:t>
      </w:r>
      <w:r w:rsidR="00190300">
        <w:rPr>
          <w:b/>
          <w:lang w:val="ru-RU"/>
        </w:rPr>
        <w:t>49</w:t>
      </w:r>
      <w:r w:rsidRPr="00933BBE">
        <w:rPr>
          <w:b/>
          <w:lang w:val="sr-Cyrl-CS"/>
        </w:rPr>
        <w:t xml:space="preserve"> места </w:t>
      </w:r>
      <w:r w:rsidRPr="00933BBE">
        <w:rPr>
          <w:lang w:val="sr-Cyrl-CS"/>
        </w:rPr>
        <w:t xml:space="preserve">или </w:t>
      </w:r>
      <w:r>
        <w:rPr>
          <w:b/>
          <w:lang w:val="ru-RU"/>
        </w:rPr>
        <w:t>1,</w:t>
      </w:r>
      <w:r w:rsidR="00190300">
        <w:rPr>
          <w:b/>
          <w:lang w:val="ru-RU"/>
        </w:rPr>
        <w:t>30</w:t>
      </w:r>
      <w:r w:rsidRPr="00933BBE">
        <w:rPr>
          <w:b/>
          <w:lang w:val="sr-Cyrl-CS"/>
        </w:rPr>
        <w:t>% мање</w:t>
      </w:r>
      <w:r w:rsidRPr="00933BBE">
        <w:rPr>
          <w:lang w:val="sr-Cyrl-CS"/>
        </w:rPr>
        <w:t>, а уписан</w:t>
      </w:r>
      <w:r w:rsidR="00190300">
        <w:rPr>
          <w:lang w:val="sr-Cyrl-CS"/>
        </w:rPr>
        <w:t>о</w:t>
      </w:r>
      <w:r w:rsidRPr="00933BBE">
        <w:rPr>
          <w:lang w:val="sr-Cyrl-CS"/>
        </w:rPr>
        <w:t xml:space="preserve"> </w:t>
      </w:r>
      <w:r w:rsidR="00190300">
        <w:rPr>
          <w:b/>
          <w:lang w:val="ru-RU"/>
        </w:rPr>
        <w:t>73</w:t>
      </w:r>
      <w:r w:rsidRPr="00933BBE">
        <w:rPr>
          <w:b/>
          <w:lang w:val="sr-Cyrl-CS"/>
        </w:rPr>
        <w:t xml:space="preserve"> ученик</w:t>
      </w:r>
      <w:r w:rsidR="00190300">
        <w:rPr>
          <w:b/>
          <w:lang w:val="sr-Cyrl-CS"/>
        </w:rPr>
        <w:t>а</w:t>
      </w:r>
      <w:r w:rsidRPr="00933BBE">
        <w:rPr>
          <w:b/>
          <w:lang w:val="sr-Cyrl-CS"/>
        </w:rPr>
        <w:t xml:space="preserve"> </w:t>
      </w:r>
      <w:r w:rsidRPr="00933BBE">
        <w:rPr>
          <w:lang w:val="sr-Cyrl-CS"/>
        </w:rPr>
        <w:t xml:space="preserve">или </w:t>
      </w:r>
      <w:r w:rsidR="00190300" w:rsidRPr="00190300">
        <w:rPr>
          <w:b/>
          <w:lang w:val="sr-Cyrl-CS"/>
        </w:rPr>
        <w:t>2</w:t>
      </w:r>
      <w:r w:rsidRPr="00190300">
        <w:rPr>
          <w:b/>
          <w:lang w:val="sr-Cyrl-CS"/>
        </w:rPr>
        <w:t>,</w:t>
      </w:r>
      <w:r w:rsidR="00190300" w:rsidRPr="00190300">
        <w:rPr>
          <w:b/>
          <w:lang w:val="sr-Cyrl-CS"/>
        </w:rPr>
        <w:t>72</w:t>
      </w:r>
      <w:r w:rsidRPr="00933BBE">
        <w:rPr>
          <w:b/>
          <w:lang w:val="sr-Cyrl-CS"/>
        </w:rPr>
        <w:t>% мање</w:t>
      </w:r>
      <w:r w:rsidRPr="00933BBE">
        <w:rPr>
          <w:lang w:val="sr-Cyrl-CS"/>
        </w:rPr>
        <w:t xml:space="preserve">. </w:t>
      </w:r>
    </w:p>
    <w:p w:rsidR="00A968D5" w:rsidRPr="00933BBE" w:rsidRDefault="00A968D5" w:rsidP="00A968D5">
      <w:pPr>
        <w:jc w:val="both"/>
        <w:rPr>
          <w:lang w:val="ru-RU"/>
        </w:rPr>
      </w:pPr>
    </w:p>
    <w:p w:rsidR="00A968D5" w:rsidRDefault="00A968D5" w:rsidP="00A968D5">
      <w:pPr>
        <w:pStyle w:val="BodyText"/>
        <w:rPr>
          <w:lang w:val="sr-Cyrl-RS"/>
        </w:rPr>
      </w:pPr>
      <w:r w:rsidRPr="00933BBE">
        <w:tab/>
        <w:t xml:space="preserve">У оквиру трогодишњег школовања у </w:t>
      </w:r>
      <w:r w:rsidR="00190300">
        <w:rPr>
          <w:lang w:val="ru-RU"/>
        </w:rPr>
        <w:t>пет</w:t>
      </w:r>
      <w:r w:rsidRPr="00933BBE">
        <w:t xml:space="preserve"> школ</w:t>
      </w:r>
      <w:r w:rsidR="00190300">
        <w:rPr>
          <w:lang w:val="sr-Cyrl-RS"/>
        </w:rPr>
        <w:t>а</w:t>
      </w:r>
      <w:r w:rsidRPr="00933BBE">
        <w:t xml:space="preserve"> одобрен је упис </w:t>
      </w:r>
      <w:r w:rsidR="00B533C0">
        <w:rPr>
          <w:lang w:val="ru-RU"/>
        </w:rPr>
        <w:t>четири</w:t>
      </w:r>
      <w:r w:rsidR="00190300">
        <w:t xml:space="preserve"> нова </w:t>
      </w:r>
      <w:r w:rsidRPr="00933BBE">
        <w:t>образовна профила</w:t>
      </w:r>
      <w:r w:rsidR="00B533C0">
        <w:rPr>
          <w:lang w:val="sr-Cyrl-RS"/>
        </w:rPr>
        <w:t xml:space="preserve">: </w:t>
      </w:r>
      <w:r w:rsidR="00B533C0" w:rsidRPr="00B533C0">
        <w:rPr>
          <w:i/>
          <w:lang w:val="sr-Cyrl-RS"/>
        </w:rPr>
        <w:t>руковалац постројења за добијање нафте</w:t>
      </w:r>
      <w:r w:rsidR="00B533C0">
        <w:rPr>
          <w:lang w:val="sr-Cyrl-RS"/>
        </w:rPr>
        <w:t xml:space="preserve">, </w:t>
      </w:r>
      <w:r w:rsidR="00B533C0" w:rsidRPr="00B533C0">
        <w:rPr>
          <w:i/>
          <w:lang w:val="sr-Cyrl-RS"/>
        </w:rPr>
        <w:t>бравар-заваривач</w:t>
      </w:r>
      <w:r w:rsidR="00B533C0">
        <w:rPr>
          <w:lang w:val="sr-Cyrl-RS"/>
        </w:rPr>
        <w:t xml:space="preserve">, </w:t>
      </w:r>
      <w:r w:rsidR="00B533C0" w:rsidRPr="00B533C0">
        <w:rPr>
          <w:i/>
          <w:lang w:val="sr-Cyrl-RS"/>
        </w:rPr>
        <w:t>електричар</w:t>
      </w:r>
      <w:r w:rsidR="00B533C0">
        <w:rPr>
          <w:lang w:val="sr-Cyrl-RS"/>
        </w:rPr>
        <w:t xml:space="preserve"> и </w:t>
      </w:r>
      <w:r w:rsidR="00B533C0" w:rsidRPr="00B533C0">
        <w:rPr>
          <w:i/>
          <w:lang w:val="sr-Cyrl-RS"/>
        </w:rPr>
        <w:t>индустријски механичар</w:t>
      </w:r>
      <w:r w:rsidR="00190300">
        <w:rPr>
          <w:lang w:val="sr-Cyrl-RS"/>
        </w:rPr>
        <w:t>.</w:t>
      </w:r>
      <w:r w:rsidRPr="00933BBE">
        <w:t xml:space="preserve"> </w:t>
      </w:r>
    </w:p>
    <w:p w:rsidR="00A968D5" w:rsidRDefault="00A968D5" w:rsidP="00A968D5">
      <w:pPr>
        <w:pStyle w:val="BodyText"/>
        <w:rPr>
          <w:lang w:val="sr-Cyrl-RS"/>
        </w:rPr>
      </w:pPr>
    </w:p>
    <w:p w:rsidR="00A968D5" w:rsidRPr="00EC615C" w:rsidRDefault="00A968D5" w:rsidP="00A968D5">
      <w:pPr>
        <w:pStyle w:val="BodyText"/>
        <w:rPr>
          <w:lang w:val="sr-Cyrl-RS"/>
        </w:rPr>
      </w:pPr>
      <w:r w:rsidRPr="00EC615C">
        <w:rPr>
          <w:lang w:val="sr-Cyrl-RS"/>
        </w:rPr>
        <w:tab/>
        <w:t xml:space="preserve">За </w:t>
      </w:r>
      <w:r w:rsidR="00190300">
        <w:rPr>
          <w:lang w:val="sr-Cyrl-RS"/>
        </w:rPr>
        <w:t>четири средње</w:t>
      </w:r>
      <w:r w:rsidRPr="00EC615C">
        <w:rPr>
          <w:lang w:val="sr-Cyrl-RS"/>
        </w:rPr>
        <w:t xml:space="preserve"> школ</w:t>
      </w:r>
      <w:r w:rsidR="00190300">
        <w:rPr>
          <w:lang w:val="sr-Cyrl-RS"/>
        </w:rPr>
        <w:t>е</w:t>
      </w:r>
      <w:r w:rsidRPr="00EC615C">
        <w:rPr>
          <w:lang w:val="sr-Cyrl-RS"/>
        </w:rPr>
        <w:t xml:space="preserve"> је планиран упис </w:t>
      </w:r>
      <w:r w:rsidR="00190300">
        <w:rPr>
          <w:lang w:val="sr-Cyrl-RS"/>
        </w:rPr>
        <w:t>четири огледна</w:t>
      </w:r>
      <w:r w:rsidRPr="00EC615C">
        <w:rPr>
          <w:lang w:val="sr-Cyrl-RS"/>
        </w:rPr>
        <w:t xml:space="preserve"> одељења образовни</w:t>
      </w:r>
      <w:r w:rsidR="00190300">
        <w:rPr>
          <w:lang w:val="sr-Cyrl-RS"/>
        </w:rPr>
        <w:t xml:space="preserve">х профила </w:t>
      </w:r>
      <w:r w:rsidRPr="00EC615C">
        <w:rPr>
          <w:lang w:val="sr-Cyrl-RS"/>
        </w:rPr>
        <w:t xml:space="preserve"> </w:t>
      </w:r>
      <w:r w:rsidRPr="00B533C0">
        <w:rPr>
          <w:i/>
          <w:lang w:val="sr-Cyrl-RS"/>
        </w:rPr>
        <w:t>модни кројач</w:t>
      </w:r>
      <w:r w:rsidRPr="00B533C0">
        <w:rPr>
          <w:i/>
        </w:rPr>
        <w:t xml:space="preserve"> – </w:t>
      </w:r>
      <w:r w:rsidR="00190300" w:rsidRPr="00B533C0">
        <w:rPr>
          <w:i/>
          <w:lang w:val="sr-Cyrl-RS"/>
        </w:rPr>
        <w:t>оглед</w:t>
      </w:r>
      <w:r w:rsidR="00190300">
        <w:rPr>
          <w:lang w:val="sr-Cyrl-RS"/>
        </w:rPr>
        <w:t xml:space="preserve"> и </w:t>
      </w:r>
      <w:r w:rsidRPr="00B533C0">
        <w:rPr>
          <w:i/>
          <w:lang w:val="sr-Cyrl-RS"/>
        </w:rPr>
        <w:t>оператер машинске обраде</w:t>
      </w:r>
      <w:r w:rsidRPr="00B533C0">
        <w:rPr>
          <w:i/>
        </w:rPr>
        <w:t xml:space="preserve"> – </w:t>
      </w:r>
      <w:r w:rsidR="00190300" w:rsidRPr="00B533C0">
        <w:rPr>
          <w:i/>
          <w:lang w:val="sr-Cyrl-RS"/>
        </w:rPr>
        <w:t>оглед</w:t>
      </w:r>
      <w:r w:rsidRPr="00EC615C">
        <w:rPr>
          <w:lang w:val="sr-Cyrl-RS"/>
        </w:rPr>
        <w:t xml:space="preserve"> </w:t>
      </w:r>
      <w:r w:rsidR="00190300">
        <w:rPr>
          <w:lang w:val="sr-Cyrl-RS"/>
        </w:rPr>
        <w:t>у трогодишњем трајању са 84</w:t>
      </w:r>
      <w:r w:rsidRPr="00EC615C">
        <w:rPr>
          <w:lang w:val="sr-Cyrl-RS"/>
        </w:rPr>
        <w:t xml:space="preserve"> места</w:t>
      </w:r>
      <w:r w:rsidR="00190300">
        <w:rPr>
          <w:lang w:val="sr-Cyrl-RS"/>
        </w:rPr>
        <w:t>, а уписано је 27</w:t>
      </w:r>
      <w:r w:rsidRPr="00EC615C">
        <w:rPr>
          <w:lang w:val="sr-Cyrl-RS"/>
        </w:rPr>
        <w:t xml:space="preserve"> ученика у </w:t>
      </w:r>
      <w:r w:rsidR="00190300">
        <w:rPr>
          <w:lang w:val="sr-Cyrl-RS"/>
        </w:rPr>
        <w:t>два</w:t>
      </w:r>
      <w:r w:rsidRPr="00EC615C">
        <w:rPr>
          <w:lang w:val="sr-Cyrl-RS"/>
        </w:rPr>
        <w:t xml:space="preserve"> одељења.  </w:t>
      </w:r>
    </w:p>
    <w:p w:rsidR="00A968D5" w:rsidRPr="00EC615C" w:rsidRDefault="00A968D5" w:rsidP="00A968D5">
      <w:pPr>
        <w:pStyle w:val="BodyText"/>
        <w:rPr>
          <w:lang w:val="ru-RU"/>
        </w:rPr>
      </w:pPr>
    </w:p>
    <w:p w:rsidR="00A968D5" w:rsidRPr="008E3A4A" w:rsidRDefault="00A968D5" w:rsidP="00A968D5">
      <w:pPr>
        <w:ind w:firstLine="720"/>
        <w:jc w:val="both"/>
        <w:rPr>
          <w:lang w:val="sr-Cyrl-CS"/>
        </w:rPr>
      </w:pPr>
      <w:r w:rsidRPr="00933BBE">
        <w:rPr>
          <w:lang w:val="sr-Cyrl-CS"/>
        </w:rPr>
        <w:t>План уписа ученика у школ</w:t>
      </w:r>
      <w:r>
        <w:rPr>
          <w:lang w:val="sr-Cyrl-CS"/>
        </w:rPr>
        <w:t>е</w:t>
      </w:r>
      <w:r w:rsidRPr="00933BBE">
        <w:rPr>
          <w:lang w:val="sr-Cyrl-CS"/>
        </w:rPr>
        <w:t xml:space="preserve"> на </w:t>
      </w:r>
      <w:r w:rsidRPr="00933BBE">
        <w:rPr>
          <w:b/>
          <w:bCs/>
          <w:lang w:val="sr-Cyrl-CS"/>
        </w:rPr>
        <w:t>српском наставн</w:t>
      </w:r>
      <w:r>
        <w:rPr>
          <w:b/>
          <w:bCs/>
          <w:lang w:val="sr-Cyrl-CS"/>
        </w:rPr>
        <w:t>о</w:t>
      </w:r>
      <w:r w:rsidRPr="00933BBE">
        <w:rPr>
          <w:b/>
          <w:bCs/>
          <w:lang w:val="sr-Cyrl-CS"/>
        </w:rPr>
        <w:t>м језику</w:t>
      </w:r>
      <w:r w:rsidRPr="00933BBE">
        <w:rPr>
          <w:lang w:val="sr-Cyrl-CS"/>
        </w:rPr>
        <w:t xml:space="preserve"> остварен је са </w:t>
      </w:r>
      <w:r w:rsidR="008E3A4A">
        <w:rPr>
          <w:b/>
          <w:bCs/>
          <w:lang w:val="sr-Cyrl-CS"/>
        </w:rPr>
        <w:t>73</w:t>
      </w:r>
      <w:r w:rsidRPr="00933BBE">
        <w:rPr>
          <w:b/>
          <w:bCs/>
          <w:lang w:val="sr-Cyrl-CS"/>
        </w:rPr>
        <w:t>,</w:t>
      </w:r>
      <w:r w:rsidR="008E3A4A">
        <w:rPr>
          <w:b/>
          <w:bCs/>
          <w:lang w:val="sr-Cyrl-CS"/>
        </w:rPr>
        <w:t>88</w:t>
      </w:r>
      <w:r w:rsidRPr="00933BBE">
        <w:rPr>
          <w:b/>
          <w:bCs/>
          <w:lang w:val="sr-Cyrl-CS"/>
        </w:rPr>
        <w:t>%,</w:t>
      </w:r>
      <w:r w:rsidRPr="00933BBE">
        <w:rPr>
          <w:lang w:val="sr-Cyrl-CS"/>
        </w:rPr>
        <w:t xml:space="preserve"> јер је на планираних </w:t>
      </w:r>
      <w:r>
        <w:rPr>
          <w:b/>
          <w:lang w:val="sr-Cyrl-CS"/>
        </w:rPr>
        <w:t>3</w:t>
      </w:r>
      <w:r w:rsidRPr="00933BBE">
        <w:rPr>
          <w:b/>
          <w:bCs/>
          <w:lang w:val="sr-Cyrl-CS"/>
        </w:rPr>
        <w:t>.</w:t>
      </w:r>
      <w:r w:rsidR="008E3A4A">
        <w:rPr>
          <w:b/>
          <w:bCs/>
          <w:lang w:val="sr-Cyrl-CS"/>
        </w:rPr>
        <w:t>190</w:t>
      </w:r>
      <w:r w:rsidRPr="00933BBE">
        <w:rPr>
          <w:b/>
          <w:bCs/>
          <w:lang w:val="sr-Cyrl-CS"/>
        </w:rPr>
        <w:t xml:space="preserve"> места</w:t>
      </w:r>
      <w:r w:rsidRPr="00933BBE">
        <w:rPr>
          <w:lang w:val="sr-Cyrl-CS"/>
        </w:rPr>
        <w:t xml:space="preserve"> уписано </w:t>
      </w:r>
      <w:r>
        <w:rPr>
          <w:b/>
          <w:lang w:val="sr-Cyrl-CS"/>
        </w:rPr>
        <w:t>2</w:t>
      </w:r>
      <w:r w:rsidRPr="00933BBE">
        <w:rPr>
          <w:b/>
          <w:bCs/>
          <w:lang w:val="sr-Cyrl-CS"/>
        </w:rPr>
        <w:t>.</w:t>
      </w:r>
      <w:r w:rsidR="008E3A4A">
        <w:rPr>
          <w:b/>
          <w:bCs/>
          <w:lang w:val="sr-Cyrl-CS"/>
        </w:rPr>
        <w:t>325</w:t>
      </w:r>
      <w:r w:rsidRPr="00933BBE">
        <w:rPr>
          <w:b/>
          <w:bCs/>
          <w:lang w:val="sr-Cyrl-CS"/>
        </w:rPr>
        <w:t xml:space="preserve"> ученика. </w:t>
      </w:r>
      <w:r w:rsidRPr="00933BBE">
        <w:rPr>
          <w:lang w:val="sr-Cyrl-CS"/>
        </w:rPr>
        <w:t>У односу на претходну школску годину</w:t>
      </w:r>
      <w:r>
        <w:rPr>
          <w:lang w:val="sr-Cyrl-CS"/>
        </w:rPr>
        <w:t>,</w:t>
      </w:r>
      <w:r w:rsidRPr="00933BBE">
        <w:rPr>
          <w:lang w:val="sr-Cyrl-CS"/>
        </w:rPr>
        <w:t xml:space="preserve"> за </w:t>
      </w:r>
      <w:r w:rsidR="008E3A4A">
        <w:rPr>
          <w:lang w:val="sr-Cyrl-CS"/>
        </w:rPr>
        <w:t>169</w:t>
      </w:r>
      <w:r w:rsidRPr="00933BBE">
        <w:rPr>
          <w:lang w:val="sr-Cyrl-CS"/>
        </w:rPr>
        <w:t xml:space="preserve"> </w:t>
      </w:r>
      <w:r w:rsidR="008E3A4A">
        <w:rPr>
          <w:lang w:val="sr-Cyrl-CS"/>
        </w:rPr>
        <w:t>или 5</w:t>
      </w:r>
      <w:r>
        <w:rPr>
          <w:lang w:val="sr-Cyrl-CS"/>
        </w:rPr>
        <w:t>,</w:t>
      </w:r>
      <w:r w:rsidR="008E3A4A">
        <w:rPr>
          <w:lang w:val="sr-Cyrl-CS"/>
        </w:rPr>
        <w:t>03</w:t>
      </w:r>
      <w:r>
        <w:rPr>
          <w:lang w:val="sr-Cyrl-CS"/>
        </w:rPr>
        <w:t xml:space="preserve">% </w:t>
      </w:r>
      <w:r w:rsidRPr="00933BBE">
        <w:rPr>
          <w:lang w:val="sr-Cyrl-CS"/>
        </w:rPr>
        <w:t xml:space="preserve">смањен </w:t>
      </w:r>
      <w:r>
        <w:rPr>
          <w:lang w:val="sr-Cyrl-CS"/>
        </w:rPr>
        <w:t xml:space="preserve">је </w:t>
      </w:r>
      <w:r w:rsidRPr="00933BBE">
        <w:rPr>
          <w:lang w:val="sr-Cyrl-CS"/>
        </w:rPr>
        <w:t xml:space="preserve">број планираних места за упис, а за </w:t>
      </w:r>
      <w:r w:rsidR="008E3A4A">
        <w:rPr>
          <w:lang w:val="sr-Cyrl-CS"/>
        </w:rPr>
        <w:t>101 или 4</w:t>
      </w:r>
      <w:r>
        <w:rPr>
          <w:lang w:val="sr-Cyrl-CS"/>
        </w:rPr>
        <w:t>,</w:t>
      </w:r>
      <w:r w:rsidR="008E3A4A">
        <w:rPr>
          <w:lang w:val="sr-Cyrl-CS"/>
        </w:rPr>
        <w:t>16</w:t>
      </w:r>
      <w:r>
        <w:rPr>
          <w:lang w:val="sr-Cyrl-CS"/>
        </w:rPr>
        <w:t>%</w:t>
      </w:r>
      <w:r w:rsidRPr="00933BBE">
        <w:rPr>
          <w:lang w:val="sr-Cyrl-CS"/>
        </w:rPr>
        <w:t xml:space="preserve"> смањен </w:t>
      </w:r>
      <w:r>
        <w:rPr>
          <w:lang w:val="sr-Cyrl-CS"/>
        </w:rPr>
        <w:t xml:space="preserve">је </w:t>
      </w:r>
      <w:r w:rsidRPr="00933BBE">
        <w:rPr>
          <w:lang w:val="sr-Cyrl-CS"/>
        </w:rPr>
        <w:t>број уписаних ученика</w:t>
      </w:r>
      <w:r>
        <w:rPr>
          <w:lang w:val="sr-Cyrl-CS"/>
        </w:rPr>
        <w:t>.</w:t>
      </w:r>
    </w:p>
    <w:p w:rsidR="00A968D5" w:rsidRPr="00933BBE" w:rsidRDefault="00A968D5" w:rsidP="00A968D5">
      <w:pPr>
        <w:ind w:firstLine="720"/>
        <w:jc w:val="both"/>
        <w:rPr>
          <w:lang w:val="ru-RU"/>
        </w:rPr>
      </w:pPr>
    </w:p>
    <w:p w:rsidR="00A968D5" w:rsidRDefault="00A968D5" w:rsidP="00A968D5">
      <w:pPr>
        <w:jc w:val="both"/>
        <w:rPr>
          <w:lang w:val="sr-Cyrl-CS"/>
        </w:rPr>
      </w:pPr>
      <w:r w:rsidRPr="00933BBE">
        <w:rPr>
          <w:lang w:val="sr-Cyrl-CS"/>
        </w:rPr>
        <w:tab/>
        <w:t xml:space="preserve">У школама у којима се настава реализује на </w:t>
      </w:r>
      <w:r w:rsidRPr="00933BBE">
        <w:rPr>
          <w:b/>
          <w:bCs/>
          <w:lang w:val="sr-Cyrl-CS"/>
        </w:rPr>
        <w:t>мађарском језику</w:t>
      </w:r>
      <w:r w:rsidRPr="00933BBE">
        <w:rPr>
          <w:lang w:val="sr-Cyrl-CS"/>
        </w:rPr>
        <w:t xml:space="preserve">, упис је остварен са </w:t>
      </w:r>
      <w:r w:rsidR="002839A6">
        <w:rPr>
          <w:b/>
          <w:lang w:val="sr-Cyrl-CS"/>
        </w:rPr>
        <w:t>53</w:t>
      </w:r>
      <w:r w:rsidRPr="00933BBE">
        <w:rPr>
          <w:b/>
          <w:bCs/>
          <w:lang w:val="sr-Cyrl-CS"/>
        </w:rPr>
        <w:t>,</w:t>
      </w:r>
      <w:r w:rsidR="002839A6">
        <w:rPr>
          <w:b/>
          <w:bCs/>
          <w:lang w:val="sr-Cyrl-CS"/>
        </w:rPr>
        <w:t>02</w:t>
      </w:r>
      <w:r w:rsidRPr="00933BBE">
        <w:rPr>
          <w:b/>
          <w:bCs/>
          <w:lang w:val="sr-Cyrl-CS"/>
        </w:rPr>
        <w:t>%</w:t>
      </w:r>
      <w:r>
        <w:rPr>
          <w:b/>
          <w:bCs/>
          <w:lang w:val="sr-Cyrl-CS"/>
        </w:rPr>
        <w:t xml:space="preserve"> </w:t>
      </w:r>
      <w:r w:rsidRPr="00AB5FF2">
        <w:rPr>
          <w:bCs/>
          <w:lang w:val="sr-Cyrl-CS"/>
        </w:rPr>
        <w:t>(</w:t>
      </w:r>
      <w:r w:rsidR="002839A6">
        <w:rPr>
          <w:bCs/>
          <w:lang w:val="sr-Cyrl-CS"/>
        </w:rPr>
        <w:t>8</w:t>
      </w:r>
      <w:r>
        <w:rPr>
          <w:bCs/>
          <w:lang w:val="sr-Cyrl-CS"/>
        </w:rPr>
        <w:t>,</w:t>
      </w:r>
      <w:r w:rsidR="002839A6">
        <w:rPr>
          <w:bCs/>
          <w:lang w:val="sr-Cyrl-CS"/>
        </w:rPr>
        <w:t>68</w:t>
      </w:r>
      <w:r>
        <w:rPr>
          <w:bCs/>
          <w:lang w:val="sr-Cyrl-CS"/>
        </w:rPr>
        <w:t xml:space="preserve">% </w:t>
      </w:r>
      <w:r w:rsidR="002839A6">
        <w:rPr>
          <w:bCs/>
          <w:lang w:val="sr-Cyrl-CS"/>
        </w:rPr>
        <w:t>мање</w:t>
      </w:r>
      <w:r>
        <w:rPr>
          <w:bCs/>
          <w:lang w:val="sr-Cyrl-CS"/>
        </w:rPr>
        <w:t xml:space="preserve"> него претходне године</w:t>
      </w:r>
      <w:r w:rsidRPr="00AB5FF2">
        <w:rPr>
          <w:bCs/>
          <w:lang w:val="sr-Cyrl-CS"/>
        </w:rPr>
        <w:t>)</w:t>
      </w:r>
      <w:r w:rsidRPr="00933BBE">
        <w:rPr>
          <w:b/>
          <w:bCs/>
          <w:lang w:val="sr-Cyrl-CS"/>
        </w:rPr>
        <w:t>,</w:t>
      </w:r>
      <w:r w:rsidRPr="00933BBE">
        <w:rPr>
          <w:lang w:val="sr-Cyrl-CS"/>
        </w:rPr>
        <w:t xml:space="preserve"> јер </w:t>
      </w:r>
      <w:r>
        <w:rPr>
          <w:lang w:val="sr-Cyrl-CS"/>
        </w:rPr>
        <w:t>су</w:t>
      </w:r>
      <w:r w:rsidRPr="00933BBE">
        <w:rPr>
          <w:lang w:val="sr-Cyrl-CS"/>
        </w:rPr>
        <w:t xml:space="preserve"> на планиран</w:t>
      </w:r>
      <w:r>
        <w:rPr>
          <w:lang w:val="sr-Cyrl-CS"/>
        </w:rPr>
        <w:t>их</w:t>
      </w:r>
      <w:r w:rsidRPr="00933BBE">
        <w:rPr>
          <w:lang w:val="sr-Cyrl-CS"/>
        </w:rPr>
        <w:t xml:space="preserve"> </w:t>
      </w:r>
      <w:r w:rsidR="002839A6">
        <w:rPr>
          <w:b/>
          <w:bCs/>
          <w:lang w:val="sr-Cyrl-CS"/>
        </w:rPr>
        <w:t>530</w:t>
      </w:r>
      <w:r w:rsidRPr="00933BBE">
        <w:rPr>
          <w:b/>
          <w:bCs/>
          <w:lang w:val="sr-Cyrl-CS"/>
        </w:rPr>
        <w:t xml:space="preserve"> места</w:t>
      </w:r>
      <w:r w:rsidRPr="00933BBE">
        <w:rPr>
          <w:lang w:val="sr-Cyrl-CS"/>
        </w:rPr>
        <w:t xml:space="preserve"> уписан</w:t>
      </w:r>
      <w:r w:rsidR="002839A6">
        <w:rPr>
          <w:lang w:val="sr-Cyrl-CS"/>
        </w:rPr>
        <w:t>о</w:t>
      </w:r>
      <w:r w:rsidRPr="00933BBE">
        <w:rPr>
          <w:lang w:val="sr-Cyrl-CS"/>
        </w:rPr>
        <w:t xml:space="preserve"> </w:t>
      </w:r>
      <w:r>
        <w:rPr>
          <w:b/>
          <w:lang w:val="sr-Cyrl-CS"/>
        </w:rPr>
        <w:t>2</w:t>
      </w:r>
      <w:r w:rsidR="002839A6">
        <w:rPr>
          <w:b/>
          <w:lang w:val="sr-Cyrl-CS"/>
        </w:rPr>
        <w:t>81</w:t>
      </w:r>
      <w:r w:rsidRPr="00933BBE">
        <w:rPr>
          <w:b/>
          <w:bCs/>
          <w:lang w:val="sr-Cyrl-CS"/>
        </w:rPr>
        <w:t xml:space="preserve"> ученика. </w:t>
      </w:r>
      <w:r w:rsidRPr="00933BBE">
        <w:rPr>
          <w:lang w:val="sr-Cyrl-CS"/>
        </w:rPr>
        <w:t xml:space="preserve">У односу на претходну школску годину, број планираних места </w:t>
      </w:r>
      <w:r w:rsidR="002839A6">
        <w:rPr>
          <w:lang w:val="sr-Cyrl-CS"/>
        </w:rPr>
        <w:t>већи</w:t>
      </w:r>
      <w:r w:rsidRPr="00933BBE">
        <w:rPr>
          <w:lang w:val="sr-Cyrl-CS"/>
        </w:rPr>
        <w:t xml:space="preserve"> је за </w:t>
      </w:r>
      <w:r w:rsidR="002839A6">
        <w:rPr>
          <w:lang w:val="sr-Cyrl-CS"/>
        </w:rPr>
        <w:t>120 или 29</w:t>
      </w:r>
      <w:r>
        <w:rPr>
          <w:lang w:val="sr-Cyrl-CS"/>
        </w:rPr>
        <w:t>,</w:t>
      </w:r>
      <w:r w:rsidR="002839A6">
        <w:rPr>
          <w:lang w:val="sr-Cyrl-CS"/>
        </w:rPr>
        <w:t>27</w:t>
      </w:r>
      <w:r>
        <w:rPr>
          <w:lang w:val="sr-Cyrl-CS"/>
        </w:rPr>
        <w:t>%</w:t>
      </w:r>
      <w:r w:rsidRPr="00933BBE">
        <w:rPr>
          <w:lang w:val="sr-Cyrl-CS"/>
        </w:rPr>
        <w:t xml:space="preserve">, а број уписаних ученика </w:t>
      </w:r>
      <w:r w:rsidR="002839A6">
        <w:rPr>
          <w:lang w:val="sr-Cyrl-CS"/>
        </w:rPr>
        <w:t>већи</w:t>
      </w:r>
      <w:r w:rsidRPr="00933BBE">
        <w:rPr>
          <w:lang w:val="sr-Cyrl-CS"/>
        </w:rPr>
        <w:t xml:space="preserve"> је за </w:t>
      </w:r>
      <w:r w:rsidR="002839A6">
        <w:rPr>
          <w:lang w:val="sr-Cyrl-CS"/>
        </w:rPr>
        <w:t>28 или 11</w:t>
      </w:r>
      <w:r>
        <w:rPr>
          <w:lang w:val="sr-Cyrl-CS"/>
        </w:rPr>
        <w:t>,</w:t>
      </w:r>
      <w:r w:rsidR="002839A6">
        <w:rPr>
          <w:lang w:val="sr-Cyrl-CS"/>
        </w:rPr>
        <w:t>07</w:t>
      </w:r>
      <w:r>
        <w:rPr>
          <w:lang w:val="sr-Cyrl-CS"/>
        </w:rPr>
        <w:t xml:space="preserve">%. </w:t>
      </w:r>
    </w:p>
    <w:p w:rsidR="00A968D5" w:rsidRDefault="00A968D5" w:rsidP="00A968D5">
      <w:pPr>
        <w:jc w:val="both"/>
        <w:rPr>
          <w:lang w:val="sr-Cyrl-CS"/>
        </w:rPr>
      </w:pPr>
    </w:p>
    <w:p w:rsidR="00C330E4" w:rsidRDefault="00C330E4" w:rsidP="00A968D5">
      <w:pPr>
        <w:jc w:val="both"/>
        <w:rPr>
          <w:lang w:val="sr-Cyrl-CS"/>
        </w:rPr>
      </w:pPr>
    </w:p>
    <w:p w:rsidR="00C330E4" w:rsidRDefault="00C330E4" w:rsidP="00A968D5">
      <w:pPr>
        <w:jc w:val="both"/>
        <w:rPr>
          <w:lang w:val="sr-Cyrl-CS"/>
        </w:rPr>
      </w:pPr>
    </w:p>
    <w:p w:rsidR="006661B7" w:rsidRDefault="006661B7" w:rsidP="00A968D5">
      <w:pPr>
        <w:jc w:val="both"/>
        <w:rPr>
          <w:lang w:val="sr-Cyrl-CS"/>
        </w:rPr>
      </w:pPr>
    </w:p>
    <w:p w:rsidR="006661B7" w:rsidRDefault="006661B7" w:rsidP="00A968D5">
      <w:pPr>
        <w:jc w:val="both"/>
        <w:rPr>
          <w:lang w:val="sr-Cyrl-CS"/>
        </w:rPr>
      </w:pPr>
    </w:p>
    <w:p w:rsidR="006661B7" w:rsidRDefault="006661B7" w:rsidP="00A968D5">
      <w:pPr>
        <w:jc w:val="both"/>
        <w:rPr>
          <w:lang w:val="sr-Cyrl-CS"/>
        </w:rPr>
      </w:pPr>
    </w:p>
    <w:p w:rsidR="006661B7" w:rsidRDefault="006661B7" w:rsidP="00A968D5">
      <w:pPr>
        <w:jc w:val="both"/>
        <w:rPr>
          <w:lang w:val="sr-Cyrl-CS"/>
        </w:rPr>
      </w:pPr>
    </w:p>
    <w:p w:rsidR="006661B7" w:rsidRDefault="006661B7" w:rsidP="00A968D5">
      <w:pPr>
        <w:jc w:val="both"/>
        <w:rPr>
          <w:lang w:val="sr-Cyrl-CS"/>
        </w:rPr>
      </w:pPr>
    </w:p>
    <w:p w:rsidR="006661B7" w:rsidRDefault="006661B7" w:rsidP="00A968D5">
      <w:pPr>
        <w:jc w:val="both"/>
        <w:rPr>
          <w:lang w:val="sr-Cyrl-CS"/>
        </w:rPr>
      </w:pPr>
    </w:p>
    <w:p w:rsidR="006661B7" w:rsidRDefault="006661B7" w:rsidP="00A968D5">
      <w:pPr>
        <w:jc w:val="both"/>
        <w:rPr>
          <w:lang w:val="sr-Cyrl-CS"/>
        </w:rPr>
      </w:pPr>
    </w:p>
    <w:p w:rsidR="006661B7" w:rsidRDefault="006661B7" w:rsidP="00A968D5">
      <w:pPr>
        <w:jc w:val="both"/>
        <w:rPr>
          <w:lang w:val="sr-Cyrl-CS"/>
        </w:rPr>
      </w:pPr>
    </w:p>
    <w:p w:rsidR="00C330E4" w:rsidRDefault="00C330E4" w:rsidP="00A968D5">
      <w:pPr>
        <w:jc w:val="both"/>
        <w:rPr>
          <w:lang w:val="sr-Cyrl-CS"/>
        </w:rPr>
      </w:pPr>
    </w:p>
    <w:p w:rsidR="00C330E4" w:rsidRDefault="00C330E4" w:rsidP="00A968D5">
      <w:pPr>
        <w:jc w:val="both"/>
        <w:rPr>
          <w:lang w:val="sr-Cyrl-CS"/>
        </w:rPr>
      </w:pPr>
    </w:p>
    <w:p w:rsidR="00C330E4" w:rsidRDefault="00C330E4" w:rsidP="00A968D5">
      <w:pPr>
        <w:jc w:val="both"/>
        <w:rPr>
          <w:lang w:val="sr-Cyrl-CS"/>
        </w:rPr>
      </w:pPr>
    </w:p>
    <w:p w:rsidR="00C330E4" w:rsidRDefault="00C330E4" w:rsidP="00A968D5">
      <w:pPr>
        <w:jc w:val="both"/>
        <w:rPr>
          <w:lang w:val="sr-Cyrl-CS"/>
        </w:rPr>
      </w:pPr>
    </w:p>
    <w:p w:rsidR="00C330E4" w:rsidRDefault="00C330E4" w:rsidP="00A968D5">
      <w:pPr>
        <w:jc w:val="both"/>
        <w:rPr>
          <w:lang w:val="sr-Cyrl-CS"/>
        </w:rPr>
      </w:pPr>
    </w:p>
    <w:p w:rsidR="00C330E4" w:rsidRDefault="00C330E4" w:rsidP="00A968D5">
      <w:pPr>
        <w:jc w:val="both"/>
        <w:rPr>
          <w:lang w:val="sr-Cyrl-CS"/>
        </w:rPr>
      </w:pPr>
    </w:p>
    <w:p w:rsidR="00C330E4" w:rsidRDefault="00C330E4" w:rsidP="00A968D5">
      <w:pPr>
        <w:jc w:val="both"/>
        <w:rPr>
          <w:lang w:val="sr-Cyrl-CS"/>
        </w:rPr>
      </w:pPr>
    </w:p>
    <w:p w:rsidR="00A968D5" w:rsidRPr="00933BBE" w:rsidRDefault="00A968D5" w:rsidP="00A968D5">
      <w:pPr>
        <w:jc w:val="both"/>
        <w:rPr>
          <w:lang w:val="ru-RU"/>
        </w:rPr>
      </w:pPr>
      <w:r w:rsidRPr="00933BBE">
        <w:rPr>
          <w:lang w:val="sr-Cyrl-CS"/>
        </w:rPr>
        <w:lastRenderedPageBreak/>
        <w:tab/>
        <w:t xml:space="preserve">У АП Војводини, </w:t>
      </w:r>
      <w:r w:rsidRPr="00AC753C">
        <w:rPr>
          <w:b/>
          <w:lang w:val="sr-Cyrl-CS"/>
        </w:rPr>
        <w:t>по подручјима рада</w:t>
      </w:r>
      <w:r w:rsidRPr="00933BBE">
        <w:rPr>
          <w:lang w:val="sr-Cyrl-CS"/>
        </w:rPr>
        <w:t xml:space="preserve">, за </w:t>
      </w:r>
      <w:r w:rsidRPr="00933BBE">
        <w:rPr>
          <w:b/>
          <w:lang w:val="sr-Cyrl-CS"/>
        </w:rPr>
        <w:t>трогодишње</w:t>
      </w:r>
      <w:r w:rsidRPr="00933BBE">
        <w:rPr>
          <w:lang w:val="sr-Cyrl-CS"/>
        </w:rPr>
        <w:t xml:space="preserve"> </w:t>
      </w:r>
      <w:r w:rsidRPr="00AC753C">
        <w:rPr>
          <w:b/>
          <w:lang w:val="sr-Cyrl-CS"/>
        </w:rPr>
        <w:t>образовање</w:t>
      </w:r>
      <w:r w:rsidRPr="00933BBE">
        <w:rPr>
          <w:lang w:val="sr-Cyrl-CS"/>
        </w:rPr>
        <w:t xml:space="preserve"> уписано</w:t>
      </w:r>
      <w:r w:rsidRPr="004A1C48">
        <w:rPr>
          <w:lang w:val="sr-Cyrl-CS"/>
        </w:rPr>
        <w:t xml:space="preserve"> </w:t>
      </w:r>
      <w:r w:rsidRPr="00933BBE">
        <w:rPr>
          <w:lang w:val="sr-Cyrl-CS"/>
        </w:rPr>
        <w:t>је:</w:t>
      </w:r>
    </w:p>
    <w:p w:rsidR="00A968D5" w:rsidRDefault="00A968D5" w:rsidP="00A968D5">
      <w:pPr>
        <w:jc w:val="both"/>
        <w:rPr>
          <w:lang w:val="ru-RU"/>
        </w:rPr>
      </w:pPr>
    </w:p>
    <w:p w:rsidR="00A968D5" w:rsidRPr="00933BBE" w:rsidRDefault="00A968D5" w:rsidP="00A968D5">
      <w:pPr>
        <w:jc w:val="both"/>
        <w:rPr>
          <w:lang w:val="ru-RU"/>
        </w:rPr>
      </w:pPr>
    </w:p>
    <w:tbl>
      <w:tblPr>
        <w:tblW w:w="10517" w:type="dxa"/>
        <w:jc w:val="center"/>
        <w:tblInd w:w="6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7"/>
        <w:gridCol w:w="1003"/>
        <w:gridCol w:w="1440"/>
        <w:gridCol w:w="1080"/>
        <w:gridCol w:w="1080"/>
        <w:gridCol w:w="1440"/>
        <w:gridCol w:w="1080"/>
        <w:gridCol w:w="1517"/>
      </w:tblGrid>
      <w:tr w:rsidR="00A968D5" w:rsidRPr="00933BBE" w:rsidTr="00C61DAF">
        <w:trPr>
          <w:cantSplit/>
          <w:jc w:val="center"/>
        </w:trPr>
        <w:tc>
          <w:tcPr>
            <w:tcW w:w="1877" w:type="dxa"/>
            <w:vMerge w:val="restart"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:rsidR="00A968D5" w:rsidRPr="00933BBE" w:rsidRDefault="00A968D5" w:rsidP="00C61DAF">
            <w:pPr>
              <w:jc w:val="center"/>
              <w:rPr>
                <w:lang w:val="sr-Cyrl-CS"/>
              </w:rPr>
            </w:pPr>
            <w:r w:rsidRPr="00933BBE">
              <w:rPr>
                <w:lang w:val="sr-Cyrl-CS"/>
              </w:rPr>
              <w:t>Подручје рада</w:t>
            </w:r>
          </w:p>
        </w:tc>
        <w:tc>
          <w:tcPr>
            <w:tcW w:w="3523" w:type="dxa"/>
            <w:gridSpan w:val="3"/>
            <w:tcBorders>
              <w:top w:val="thinThickSmallGap" w:sz="24" w:space="0" w:color="auto"/>
              <w:right w:val="double" w:sz="4" w:space="0" w:color="auto"/>
            </w:tcBorders>
            <w:vAlign w:val="center"/>
          </w:tcPr>
          <w:p w:rsidR="00A968D5" w:rsidRPr="00933BBE" w:rsidRDefault="00A968D5" w:rsidP="00C61DAF">
            <w:pPr>
              <w:pStyle w:val="Heading2"/>
            </w:pPr>
            <w:r w:rsidRPr="00933BBE">
              <w:t>ПЛАНИРАНО</w:t>
            </w:r>
          </w:p>
        </w:tc>
        <w:tc>
          <w:tcPr>
            <w:tcW w:w="5117" w:type="dxa"/>
            <w:gridSpan w:val="4"/>
            <w:tcBorders>
              <w:top w:val="thinThickSmallGap" w:sz="24" w:space="0" w:color="auto"/>
              <w:left w:val="double" w:sz="4" w:space="0" w:color="auto"/>
              <w:right w:val="thickThinSmallGap" w:sz="24" w:space="0" w:color="auto"/>
            </w:tcBorders>
            <w:vAlign w:val="center"/>
          </w:tcPr>
          <w:p w:rsidR="00A968D5" w:rsidRPr="00933BBE" w:rsidRDefault="00A968D5" w:rsidP="00C61DAF">
            <w:pPr>
              <w:pStyle w:val="Heading2"/>
            </w:pPr>
            <w:r w:rsidRPr="00933BBE">
              <w:t>УПИСАНО</w:t>
            </w:r>
          </w:p>
        </w:tc>
      </w:tr>
      <w:tr w:rsidR="00A968D5" w:rsidRPr="00933BBE" w:rsidTr="00C61DAF">
        <w:trPr>
          <w:cantSplit/>
          <w:jc w:val="center"/>
        </w:trPr>
        <w:tc>
          <w:tcPr>
            <w:tcW w:w="1877" w:type="dxa"/>
            <w:vMerge/>
            <w:tcBorders>
              <w:left w:val="thinThickSmallGap" w:sz="24" w:space="0" w:color="auto"/>
              <w:bottom w:val="double" w:sz="4" w:space="0" w:color="auto"/>
            </w:tcBorders>
            <w:vAlign w:val="center"/>
          </w:tcPr>
          <w:p w:rsidR="00A968D5" w:rsidRPr="00933BBE" w:rsidRDefault="00A968D5" w:rsidP="00C61DAF">
            <w:pPr>
              <w:jc w:val="center"/>
              <w:rPr>
                <w:lang w:val="sr-Cyrl-CS"/>
              </w:rPr>
            </w:pPr>
          </w:p>
        </w:tc>
        <w:tc>
          <w:tcPr>
            <w:tcW w:w="1003" w:type="dxa"/>
            <w:tcBorders>
              <w:bottom w:val="double" w:sz="4" w:space="0" w:color="auto"/>
            </w:tcBorders>
            <w:vAlign w:val="center"/>
          </w:tcPr>
          <w:p w:rsidR="00A968D5" w:rsidRPr="0008205A" w:rsidRDefault="00A968D5" w:rsidP="00C61DAF">
            <w:pPr>
              <w:jc w:val="center"/>
              <w:rPr>
                <w:lang w:val="sr-Cyrl-CS"/>
              </w:rPr>
            </w:pPr>
            <w:r w:rsidRPr="0008205A">
              <w:rPr>
                <w:lang w:val="sr-Cyrl-CS"/>
              </w:rPr>
              <w:t>српски</w:t>
            </w:r>
          </w:p>
        </w:tc>
        <w:tc>
          <w:tcPr>
            <w:tcW w:w="1440" w:type="dxa"/>
            <w:tcBorders>
              <w:bottom w:val="double" w:sz="4" w:space="0" w:color="auto"/>
            </w:tcBorders>
            <w:vAlign w:val="center"/>
          </w:tcPr>
          <w:p w:rsidR="00A968D5" w:rsidRPr="0008205A" w:rsidRDefault="00A968D5" w:rsidP="00C61DAF">
            <w:pPr>
              <w:jc w:val="center"/>
              <w:rPr>
                <w:lang w:val="sr-Cyrl-CS"/>
              </w:rPr>
            </w:pPr>
            <w:r w:rsidRPr="0008205A">
              <w:rPr>
                <w:lang w:val="sr-Cyrl-CS"/>
              </w:rPr>
              <w:t>Језик националне</w:t>
            </w:r>
          </w:p>
          <w:p w:rsidR="00A968D5" w:rsidRPr="0008205A" w:rsidRDefault="00A968D5" w:rsidP="00C61DAF">
            <w:pPr>
              <w:jc w:val="center"/>
              <w:rPr>
                <w:lang w:val="sr-Cyrl-CS"/>
              </w:rPr>
            </w:pPr>
            <w:r w:rsidRPr="0008205A">
              <w:rPr>
                <w:lang w:val="sr-Cyrl-CS"/>
              </w:rPr>
              <w:t>мањине</w:t>
            </w:r>
          </w:p>
        </w:tc>
        <w:tc>
          <w:tcPr>
            <w:tcW w:w="1080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A968D5" w:rsidRPr="0008205A" w:rsidRDefault="00A968D5" w:rsidP="00C61DAF">
            <w:pPr>
              <w:jc w:val="center"/>
              <w:rPr>
                <w:lang w:val="sr-Cyrl-CS"/>
              </w:rPr>
            </w:pPr>
            <w:r w:rsidRPr="0008205A">
              <w:rPr>
                <w:lang w:val="sr-Cyrl-CS"/>
              </w:rPr>
              <w:t>укупно</w:t>
            </w:r>
          </w:p>
        </w:tc>
        <w:tc>
          <w:tcPr>
            <w:tcW w:w="1080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A968D5" w:rsidRPr="0008205A" w:rsidRDefault="00A968D5" w:rsidP="00C61DAF">
            <w:pPr>
              <w:jc w:val="center"/>
              <w:rPr>
                <w:lang w:val="sr-Cyrl-CS"/>
              </w:rPr>
            </w:pPr>
            <w:r w:rsidRPr="0008205A">
              <w:rPr>
                <w:lang w:val="sr-Cyrl-CS"/>
              </w:rPr>
              <w:t>српски</w:t>
            </w:r>
          </w:p>
        </w:tc>
        <w:tc>
          <w:tcPr>
            <w:tcW w:w="1440" w:type="dxa"/>
            <w:tcBorders>
              <w:bottom w:val="double" w:sz="4" w:space="0" w:color="auto"/>
            </w:tcBorders>
            <w:vAlign w:val="center"/>
          </w:tcPr>
          <w:p w:rsidR="00A968D5" w:rsidRPr="0008205A" w:rsidRDefault="00A968D5" w:rsidP="00C61DAF">
            <w:pPr>
              <w:jc w:val="center"/>
              <w:rPr>
                <w:lang w:val="sr-Cyrl-CS"/>
              </w:rPr>
            </w:pPr>
            <w:r w:rsidRPr="0008205A">
              <w:rPr>
                <w:lang w:val="sr-Cyrl-CS"/>
              </w:rPr>
              <w:t>Језик националне</w:t>
            </w:r>
          </w:p>
          <w:p w:rsidR="00A968D5" w:rsidRPr="0008205A" w:rsidRDefault="00A968D5" w:rsidP="00C61DAF">
            <w:pPr>
              <w:jc w:val="center"/>
              <w:rPr>
                <w:lang w:val="sr-Cyrl-CS"/>
              </w:rPr>
            </w:pPr>
            <w:r w:rsidRPr="0008205A">
              <w:rPr>
                <w:lang w:val="sr-Cyrl-CS"/>
              </w:rPr>
              <w:t>мањине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vAlign w:val="center"/>
          </w:tcPr>
          <w:p w:rsidR="00A968D5" w:rsidRPr="0008205A" w:rsidRDefault="00A968D5" w:rsidP="00C61DAF">
            <w:pPr>
              <w:jc w:val="center"/>
              <w:rPr>
                <w:lang w:val="sr-Cyrl-CS"/>
              </w:rPr>
            </w:pPr>
            <w:r w:rsidRPr="0008205A">
              <w:rPr>
                <w:lang w:val="sr-Cyrl-CS"/>
              </w:rPr>
              <w:t>укупно</w:t>
            </w:r>
          </w:p>
        </w:tc>
        <w:tc>
          <w:tcPr>
            <w:tcW w:w="1517" w:type="dxa"/>
            <w:tcBorders>
              <w:bottom w:val="double" w:sz="4" w:space="0" w:color="auto"/>
              <w:right w:val="thickThinSmallGap" w:sz="24" w:space="0" w:color="auto"/>
            </w:tcBorders>
            <w:vAlign w:val="center"/>
          </w:tcPr>
          <w:p w:rsidR="00A968D5" w:rsidRPr="0008205A" w:rsidRDefault="00A968D5" w:rsidP="00C61DAF">
            <w:pPr>
              <w:jc w:val="center"/>
              <w:rPr>
                <w:lang w:val="sr-Cyrl-CS"/>
              </w:rPr>
            </w:pPr>
            <w:r w:rsidRPr="0008205A">
              <w:rPr>
                <w:lang w:val="sr-Cyrl-CS"/>
              </w:rPr>
              <w:t>Реализа</w:t>
            </w:r>
            <w:r>
              <w:rPr>
                <w:lang w:val="sr-Cyrl-CS"/>
              </w:rPr>
              <w:t>ци</w:t>
            </w:r>
            <w:r w:rsidRPr="0008205A">
              <w:rPr>
                <w:lang w:val="sr-Cyrl-CS"/>
              </w:rPr>
              <w:t>ја уписа</w:t>
            </w:r>
          </w:p>
        </w:tc>
      </w:tr>
      <w:tr w:rsidR="00A968D5" w:rsidRPr="00933BBE" w:rsidTr="00C61DAF">
        <w:trPr>
          <w:jc w:val="center"/>
        </w:trPr>
        <w:tc>
          <w:tcPr>
            <w:tcW w:w="1877" w:type="dxa"/>
            <w:tcBorders>
              <w:top w:val="double" w:sz="4" w:space="0" w:color="auto"/>
              <w:left w:val="thinThickSmallGap" w:sz="24" w:space="0" w:color="auto"/>
            </w:tcBorders>
            <w:vAlign w:val="center"/>
          </w:tcPr>
          <w:p w:rsidR="00A968D5" w:rsidRPr="00933BBE" w:rsidRDefault="00A968D5" w:rsidP="00C61DAF">
            <w:pPr>
              <w:jc w:val="center"/>
              <w:rPr>
                <w:lang w:val="sr-Cyrl-CS"/>
              </w:rPr>
            </w:pPr>
            <w:r w:rsidRPr="00933BBE">
              <w:rPr>
                <w:lang w:val="sr-Cyrl-CS"/>
              </w:rPr>
              <w:t>Пољопривреда, производња и</w:t>
            </w:r>
          </w:p>
          <w:p w:rsidR="00A968D5" w:rsidRPr="00933BBE" w:rsidRDefault="00A968D5" w:rsidP="00C61DAF">
            <w:pPr>
              <w:jc w:val="center"/>
              <w:rPr>
                <w:lang w:val="sr-Cyrl-CS"/>
              </w:rPr>
            </w:pPr>
            <w:r w:rsidRPr="00933BBE">
              <w:rPr>
                <w:lang w:val="sr-Cyrl-CS"/>
              </w:rPr>
              <w:t>прерада хране</w:t>
            </w:r>
          </w:p>
        </w:tc>
        <w:tc>
          <w:tcPr>
            <w:tcW w:w="1003" w:type="dxa"/>
            <w:tcBorders>
              <w:top w:val="double" w:sz="4" w:space="0" w:color="auto"/>
            </w:tcBorders>
            <w:vAlign w:val="center"/>
          </w:tcPr>
          <w:p w:rsidR="00A968D5" w:rsidRPr="00933BBE" w:rsidRDefault="00A968D5" w:rsidP="00C61DA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330</w:t>
            </w:r>
          </w:p>
        </w:tc>
        <w:tc>
          <w:tcPr>
            <w:tcW w:w="1440" w:type="dxa"/>
            <w:tcBorders>
              <w:top w:val="double" w:sz="4" w:space="0" w:color="auto"/>
            </w:tcBorders>
            <w:vAlign w:val="center"/>
          </w:tcPr>
          <w:p w:rsidR="00A968D5" w:rsidRPr="00933BBE" w:rsidRDefault="00A968D5" w:rsidP="00C61DA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60</w:t>
            </w:r>
          </w:p>
        </w:tc>
        <w:tc>
          <w:tcPr>
            <w:tcW w:w="1080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A968D5" w:rsidRPr="00933BBE" w:rsidRDefault="00A968D5" w:rsidP="00C61DA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390</w:t>
            </w:r>
          </w:p>
        </w:tc>
        <w:tc>
          <w:tcPr>
            <w:tcW w:w="1080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A968D5" w:rsidRPr="00933BBE" w:rsidRDefault="00A968D5" w:rsidP="00512594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  <w:r w:rsidR="00512594">
              <w:rPr>
                <w:lang w:val="sr-Cyrl-CS"/>
              </w:rPr>
              <w:t>95</w:t>
            </w:r>
          </w:p>
        </w:tc>
        <w:tc>
          <w:tcPr>
            <w:tcW w:w="1440" w:type="dxa"/>
            <w:tcBorders>
              <w:top w:val="double" w:sz="4" w:space="0" w:color="auto"/>
            </w:tcBorders>
            <w:vAlign w:val="center"/>
          </w:tcPr>
          <w:p w:rsidR="00A968D5" w:rsidRPr="00933BBE" w:rsidRDefault="00A968D5" w:rsidP="00512594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3</w:t>
            </w:r>
            <w:r w:rsidR="00512594">
              <w:rPr>
                <w:lang w:val="sr-Cyrl-CS"/>
              </w:rPr>
              <w:t>1</w:t>
            </w:r>
          </w:p>
        </w:tc>
        <w:tc>
          <w:tcPr>
            <w:tcW w:w="1080" w:type="dxa"/>
            <w:tcBorders>
              <w:top w:val="double" w:sz="4" w:space="0" w:color="auto"/>
            </w:tcBorders>
            <w:vAlign w:val="center"/>
          </w:tcPr>
          <w:p w:rsidR="00A968D5" w:rsidRPr="00AB5FF2" w:rsidRDefault="00512594" w:rsidP="00512594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226</w:t>
            </w:r>
          </w:p>
        </w:tc>
        <w:tc>
          <w:tcPr>
            <w:tcW w:w="1517" w:type="dxa"/>
            <w:tcBorders>
              <w:top w:val="double" w:sz="4" w:space="0" w:color="auto"/>
              <w:right w:val="thickThinSmallGap" w:sz="24" w:space="0" w:color="auto"/>
            </w:tcBorders>
            <w:vAlign w:val="center"/>
          </w:tcPr>
          <w:p w:rsidR="00A968D5" w:rsidRPr="00933BBE" w:rsidRDefault="00512594" w:rsidP="00512594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57</w:t>
            </w:r>
            <w:r w:rsidR="00A968D5" w:rsidRPr="00933BBE">
              <w:rPr>
                <w:lang w:val="sr-Cyrl-CS"/>
              </w:rPr>
              <w:t>,</w:t>
            </w:r>
            <w:r>
              <w:rPr>
                <w:lang w:val="sr-Cyrl-CS"/>
              </w:rPr>
              <w:t>95</w:t>
            </w:r>
            <w:r w:rsidR="00A968D5" w:rsidRPr="00933BBE">
              <w:rPr>
                <w:lang w:val="sr-Cyrl-CS"/>
              </w:rPr>
              <w:t>%</w:t>
            </w:r>
          </w:p>
        </w:tc>
      </w:tr>
      <w:tr w:rsidR="00A968D5" w:rsidRPr="00933BBE" w:rsidTr="00C61DAF">
        <w:trPr>
          <w:jc w:val="center"/>
        </w:trPr>
        <w:tc>
          <w:tcPr>
            <w:tcW w:w="1877" w:type="dxa"/>
            <w:tcBorders>
              <w:left w:val="thinThickSmallGap" w:sz="24" w:space="0" w:color="auto"/>
            </w:tcBorders>
            <w:vAlign w:val="center"/>
          </w:tcPr>
          <w:p w:rsidR="00A968D5" w:rsidRPr="00933BBE" w:rsidRDefault="00A968D5" w:rsidP="00C61DAF">
            <w:pPr>
              <w:jc w:val="center"/>
              <w:rPr>
                <w:lang w:val="sr-Cyrl-CS"/>
              </w:rPr>
            </w:pPr>
            <w:r w:rsidRPr="00933BBE">
              <w:rPr>
                <w:lang w:val="sr-Cyrl-CS"/>
              </w:rPr>
              <w:t>Шумарство и</w:t>
            </w:r>
          </w:p>
          <w:p w:rsidR="00A968D5" w:rsidRPr="00933BBE" w:rsidRDefault="00A968D5" w:rsidP="00C61DAF">
            <w:pPr>
              <w:jc w:val="center"/>
              <w:rPr>
                <w:lang w:val="sr-Cyrl-CS"/>
              </w:rPr>
            </w:pPr>
            <w:r w:rsidRPr="00933BBE">
              <w:rPr>
                <w:lang w:val="sr-Cyrl-CS"/>
              </w:rPr>
              <w:t>обрада дрвета</w:t>
            </w:r>
          </w:p>
        </w:tc>
        <w:tc>
          <w:tcPr>
            <w:tcW w:w="1003" w:type="dxa"/>
            <w:vAlign w:val="center"/>
          </w:tcPr>
          <w:p w:rsidR="00A968D5" w:rsidRPr="00AB5FF2" w:rsidRDefault="00A968D5" w:rsidP="00C61DA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60</w:t>
            </w:r>
          </w:p>
        </w:tc>
        <w:tc>
          <w:tcPr>
            <w:tcW w:w="1440" w:type="dxa"/>
            <w:vAlign w:val="center"/>
          </w:tcPr>
          <w:p w:rsidR="00A968D5" w:rsidRPr="00933BBE" w:rsidRDefault="00A968D5" w:rsidP="00C61DA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...</w:t>
            </w:r>
          </w:p>
        </w:tc>
        <w:tc>
          <w:tcPr>
            <w:tcW w:w="1080" w:type="dxa"/>
            <w:tcBorders>
              <w:right w:val="double" w:sz="4" w:space="0" w:color="auto"/>
            </w:tcBorders>
            <w:vAlign w:val="center"/>
          </w:tcPr>
          <w:p w:rsidR="00A968D5" w:rsidRPr="00AB5FF2" w:rsidRDefault="00A968D5" w:rsidP="00C61DA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60</w:t>
            </w:r>
          </w:p>
        </w:tc>
        <w:tc>
          <w:tcPr>
            <w:tcW w:w="1080" w:type="dxa"/>
            <w:tcBorders>
              <w:left w:val="double" w:sz="4" w:space="0" w:color="auto"/>
            </w:tcBorders>
            <w:vAlign w:val="center"/>
          </w:tcPr>
          <w:p w:rsidR="00A968D5" w:rsidRPr="00AB5FF2" w:rsidRDefault="00512594" w:rsidP="00C61DA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22</w:t>
            </w:r>
          </w:p>
        </w:tc>
        <w:tc>
          <w:tcPr>
            <w:tcW w:w="1440" w:type="dxa"/>
            <w:vAlign w:val="center"/>
          </w:tcPr>
          <w:p w:rsidR="00A968D5" w:rsidRPr="00933BBE" w:rsidRDefault="00A968D5" w:rsidP="00C61DA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...</w:t>
            </w:r>
          </w:p>
        </w:tc>
        <w:tc>
          <w:tcPr>
            <w:tcW w:w="1080" w:type="dxa"/>
            <w:vAlign w:val="center"/>
          </w:tcPr>
          <w:p w:rsidR="00A968D5" w:rsidRPr="00AB5FF2" w:rsidRDefault="00512594" w:rsidP="00C61DA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22</w:t>
            </w:r>
          </w:p>
        </w:tc>
        <w:tc>
          <w:tcPr>
            <w:tcW w:w="1517" w:type="dxa"/>
            <w:tcBorders>
              <w:right w:val="thickThinSmallGap" w:sz="24" w:space="0" w:color="auto"/>
            </w:tcBorders>
            <w:vAlign w:val="center"/>
          </w:tcPr>
          <w:p w:rsidR="00A968D5" w:rsidRPr="00933BBE" w:rsidRDefault="00512594" w:rsidP="00512594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36</w:t>
            </w:r>
            <w:r w:rsidR="00A968D5">
              <w:rPr>
                <w:lang w:val="sr-Cyrl-CS"/>
              </w:rPr>
              <w:t>,</w:t>
            </w:r>
            <w:r>
              <w:rPr>
                <w:lang w:val="sr-Cyrl-CS"/>
              </w:rPr>
              <w:t>67</w:t>
            </w:r>
            <w:r w:rsidR="00A968D5" w:rsidRPr="00933BBE">
              <w:rPr>
                <w:lang w:val="sr-Cyrl-CS"/>
              </w:rPr>
              <w:t>%</w:t>
            </w:r>
          </w:p>
        </w:tc>
      </w:tr>
      <w:tr w:rsidR="00A968D5" w:rsidRPr="00933BBE" w:rsidTr="00C61DAF">
        <w:trPr>
          <w:jc w:val="center"/>
        </w:trPr>
        <w:tc>
          <w:tcPr>
            <w:tcW w:w="1877" w:type="dxa"/>
            <w:tcBorders>
              <w:left w:val="thinThickSmallGap" w:sz="24" w:space="0" w:color="auto"/>
            </w:tcBorders>
            <w:vAlign w:val="center"/>
          </w:tcPr>
          <w:p w:rsidR="00A968D5" w:rsidRPr="00933BBE" w:rsidRDefault="00A968D5" w:rsidP="00C61DAF">
            <w:pPr>
              <w:jc w:val="center"/>
              <w:rPr>
                <w:lang w:val="sr-Cyrl-CS"/>
              </w:rPr>
            </w:pPr>
            <w:r w:rsidRPr="00933BBE">
              <w:rPr>
                <w:lang w:val="sr-Cyrl-CS"/>
              </w:rPr>
              <w:t>Машинство и</w:t>
            </w:r>
          </w:p>
          <w:p w:rsidR="00A968D5" w:rsidRPr="00933BBE" w:rsidRDefault="00A968D5" w:rsidP="00C61DAF">
            <w:pPr>
              <w:jc w:val="center"/>
              <w:rPr>
                <w:lang w:val="sr-Cyrl-CS"/>
              </w:rPr>
            </w:pPr>
            <w:r w:rsidRPr="00933BBE">
              <w:rPr>
                <w:lang w:val="sr-Cyrl-CS"/>
              </w:rPr>
              <w:t>обрада метала</w:t>
            </w:r>
          </w:p>
        </w:tc>
        <w:tc>
          <w:tcPr>
            <w:tcW w:w="1003" w:type="dxa"/>
            <w:vAlign w:val="center"/>
          </w:tcPr>
          <w:p w:rsidR="00A968D5" w:rsidRPr="007641D6" w:rsidRDefault="00512594" w:rsidP="00C61DAF">
            <w:pPr>
              <w:jc w:val="center"/>
            </w:pPr>
            <w:r>
              <w:rPr>
                <w:lang w:val="sr-Cyrl-CS"/>
              </w:rPr>
              <w:t>790</w:t>
            </w:r>
          </w:p>
        </w:tc>
        <w:tc>
          <w:tcPr>
            <w:tcW w:w="1440" w:type="dxa"/>
            <w:vAlign w:val="center"/>
          </w:tcPr>
          <w:p w:rsidR="00A968D5" w:rsidRPr="00933BBE" w:rsidRDefault="00A968D5" w:rsidP="00C61DA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110</w:t>
            </w:r>
          </w:p>
        </w:tc>
        <w:tc>
          <w:tcPr>
            <w:tcW w:w="1080" w:type="dxa"/>
            <w:tcBorders>
              <w:right w:val="double" w:sz="4" w:space="0" w:color="auto"/>
            </w:tcBorders>
            <w:vAlign w:val="center"/>
          </w:tcPr>
          <w:p w:rsidR="00A968D5" w:rsidRPr="00336114" w:rsidRDefault="00A968D5" w:rsidP="00512594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9</w:t>
            </w:r>
            <w:r w:rsidR="00512594">
              <w:rPr>
                <w:lang w:val="sr-Cyrl-RS"/>
              </w:rPr>
              <w:t>00</w:t>
            </w:r>
          </w:p>
        </w:tc>
        <w:tc>
          <w:tcPr>
            <w:tcW w:w="1080" w:type="dxa"/>
            <w:tcBorders>
              <w:left w:val="double" w:sz="4" w:space="0" w:color="auto"/>
            </w:tcBorders>
            <w:vAlign w:val="center"/>
          </w:tcPr>
          <w:p w:rsidR="00A968D5" w:rsidRPr="00AB5FF2" w:rsidRDefault="00A968D5" w:rsidP="00512594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4</w:t>
            </w:r>
            <w:r w:rsidR="00512594">
              <w:rPr>
                <w:lang w:val="sr-Cyrl-RS"/>
              </w:rPr>
              <w:t>74</w:t>
            </w:r>
          </w:p>
        </w:tc>
        <w:tc>
          <w:tcPr>
            <w:tcW w:w="1440" w:type="dxa"/>
            <w:vAlign w:val="center"/>
          </w:tcPr>
          <w:p w:rsidR="00A968D5" w:rsidRPr="00AB5FF2" w:rsidRDefault="00512594" w:rsidP="00512594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66</w:t>
            </w:r>
          </w:p>
        </w:tc>
        <w:tc>
          <w:tcPr>
            <w:tcW w:w="1080" w:type="dxa"/>
            <w:vAlign w:val="center"/>
          </w:tcPr>
          <w:p w:rsidR="00A968D5" w:rsidRPr="00AB5FF2" w:rsidRDefault="00A968D5" w:rsidP="00512594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5</w:t>
            </w:r>
            <w:r w:rsidR="00512594">
              <w:rPr>
                <w:lang w:val="sr-Cyrl-RS"/>
              </w:rPr>
              <w:t>40</w:t>
            </w:r>
          </w:p>
        </w:tc>
        <w:tc>
          <w:tcPr>
            <w:tcW w:w="1517" w:type="dxa"/>
            <w:tcBorders>
              <w:right w:val="thickThinSmallGap" w:sz="24" w:space="0" w:color="auto"/>
            </w:tcBorders>
            <w:vAlign w:val="center"/>
          </w:tcPr>
          <w:p w:rsidR="00A968D5" w:rsidRPr="00933BBE" w:rsidRDefault="00A968D5" w:rsidP="00512594">
            <w:pPr>
              <w:jc w:val="center"/>
              <w:rPr>
                <w:lang w:val="sr-Cyrl-CS"/>
              </w:rPr>
            </w:pPr>
            <w:r>
              <w:rPr>
                <w:lang w:val="sr-Cyrl-RS"/>
              </w:rPr>
              <w:t>60</w:t>
            </w:r>
            <w:r w:rsidRPr="00933BBE">
              <w:rPr>
                <w:lang w:val="sr-Cyrl-CS"/>
              </w:rPr>
              <w:t>%</w:t>
            </w:r>
          </w:p>
        </w:tc>
      </w:tr>
      <w:tr w:rsidR="00A968D5" w:rsidRPr="00933BBE" w:rsidTr="00C61DAF">
        <w:trPr>
          <w:jc w:val="center"/>
        </w:trPr>
        <w:tc>
          <w:tcPr>
            <w:tcW w:w="1877" w:type="dxa"/>
            <w:tcBorders>
              <w:left w:val="thinThickSmallGap" w:sz="24" w:space="0" w:color="auto"/>
            </w:tcBorders>
            <w:vAlign w:val="center"/>
          </w:tcPr>
          <w:p w:rsidR="00A968D5" w:rsidRPr="00933BBE" w:rsidRDefault="00A968D5" w:rsidP="00C61DAF">
            <w:pPr>
              <w:jc w:val="center"/>
              <w:rPr>
                <w:lang w:val="sr-Cyrl-CS"/>
              </w:rPr>
            </w:pPr>
            <w:r w:rsidRPr="00933BBE">
              <w:rPr>
                <w:lang w:val="sr-Cyrl-CS"/>
              </w:rPr>
              <w:t>Електротех-</w:t>
            </w:r>
          </w:p>
          <w:p w:rsidR="00A968D5" w:rsidRPr="00933BBE" w:rsidRDefault="00A968D5" w:rsidP="00C61DAF">
            <w:pPr>
              <w:jc w:val="center"/>
              <w:rPr>
                <w:lang w:val="sr-Cyrl-CS"/>
              </w:rPr>
            </w:pPr>
            <w:r w:rsidRPr="00933BBE">
              <w:rPr>
                <w:lang w:val="sr-Cyrl-CS"/>
              </w:rPr>
              <w:t>ника</w:t>
            </w:r>
          </w:p>
        </w:tc>
        <w:tc>
          <w:tcPr>
            <w:tcW w:w="1003" w:type="dxa"/>
            <w:vAlign w:val="center"/>
          </w:tcPr>
          <w:p w:rsidR="00A968D5" w:rsidRPr="00AB5FF2" w:rsidRDefault="00512594" w:rsidP="00C61DA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240</w:t>
            </w:r>
          </w:p>
        </w:tc>
        <w:tc>
          <w:tcPr>
            <w:tcW w:w="1440" w:type="dxa"/>
            <w:vAlign w:val="center"/>
          </w:tcPr>
          <w:p w:rsidR="00A968D5" w:rsidRPr="00AB5FF2" w:rsidRDefault="00A968D5" w:rsidP="00C61DA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30</w:t>
            </w:r>
          </w:p>
        </w:tc>
        <w:tc>
          <w:tcPr>
            <w:tcW w:w="1080" w:type="dxa"/>
            <w:tcBorders>
              <w:right w:val="double" w:sz="4" w:space="0" w:color="auto"/>
            </w:tcBorders>
            <w:vAlign w:val="center"/>
          </w:tcPr>
          <w:p w:rsidR="00A968D5" w:rsidRPr="00AB5FF2" w:rsidRDefault="00512594" w:rsidP="00C61DA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27</w:t>
            </w:r>
            <w:r w:rsidR="00A968D5">
              <w:rPr>
                <w:lang w:val="sr-Cyrl-RS"/>
              </w:rPr>
              <w:t>0</w:t>
            </w:r>
          </w:p>
        </w:tc>
        <w:tc>
          <w:tcPr>
            <w:tcW w:w="1080" w:type="dxa"/>
            <w:tcBorders>
              <w:left w:val="double" w:sz="4" w:space="0" w:color="auto"/>
            </w:tcBorders>
            <w:vAlign w:val="center"/>
          </w:tcPr>
          <w:p w:rsidR="00A968D5" w:rsidRPr="00AB5FF2" w:rsidRDefault="00512594" w:rsidP="00C61DA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133</w:t>
            </w:r>
          </w:p>
        </w:tc>
        <w:tc>
          <w:tcPr>
            <w:tcW w:w="1440" w:type="dxa"/>
            <w:vAlign w:val="center"/>
          </w:tcPr>
          <w:p w:rsidR="00A968D5" w:rsidRPr="00AB5FF2" w:rsidRDefault="00512594" w:rsidP="00C61DA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10</w:t>
            </w:r>
          </w:p>
        </w:tc>
        <w:tc>
          <w:tcPr>
            <w:tcW w:w="1080" w:type="dxa"/>
            <w:vAlign w:val="center"/>
          </w:tcPr>
          <w:p w:rsidR="00A968D5" w:rsidRPr="00AB5FF2" w:rsidRDefault="00512594" w:rsidP="00C61DA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143</w:t>
            </w:r>
          </w:p>
        </w:tc>
        <w:tc>
          <w:tcPr>
            <w:tcW w:w="1517" w:type="dxa"/>
            <w:tcBorders>
              <w:right w:val="thickThinSmallGap" w:sz="24" w:space="0" w:color="auto"/>
            </w:tcBorders>
            <w:vAlign w:val="center"/>
          </w:tcPr>
          <w:p w:rsidR="00A968D5" w:rsidRPr="00933BBE" w:rsidRDefault="00512594" w:rsidP="00512594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52</w:t>
            </w:r>
            <w:r w:rsidR="00A968D5" w:rsidRPr="00933BBE">
              <w:rPr>
                <w:lang w:val="sr-Cyrl-CS"/>
              </w:rPr>
              <w:t>,</w:t>
            </w:r>
            <w:r>
              <w:rPr>
                <w:lang w:val="sr-Cyrl-CS"/>
              </w:rPr>
              <w:t>96</w:t>
            </w:r>
            <w:r w:rsidR="00A968D5" w:rsidRPr="00933BBE">
              <w:rPr>
                <w:lang w:val="sr-Cyrl-CS"/>
              </w:rPr>
              <w:t>%</w:t>
            </w:r>
          </w:p>
        </w:tc>
      </w:tr>
      <w:tr w:rsidR="00A968D5" w:rsidRPr="00933BBE" w:rsidTr="00C61DAF">
        <w:trPr>
          <w:jc w:val="center"/>
        </w:trPr>
        <w:tc>
          <w:tcPr>
            <w:tcW w:w="1877" w:type="dxa"/>
            <w:tcBorders>
              <w:left w:val="thinThickSmallGap" w:sz="24" w:space="0" w:color="auto"/>
            </w:tcBorders>
            <w:vAlign w:val="center"/>
          </w:tcPr>
          <w:p w:rsidR="00A968D5" w:rsidRPr="00933BBE" w:rsidRDefault="00A968D5" w:rsidP="00C61DAF">
            <w:pPr>
              <w:jc w:val="center"/>
              <w:rPr>
                <w:lang w:val="sr-Cyrl-CS"/>
              </w:rPr>
            </w:pPr>
            <w:r w:rsidRPr="00933BBE">
              <w:rPr>
                <w:lang w:val="sr-Cyrl-CS"/>
              </w:rPr>
              <w:t>Текстилство и</w:t>
            </w:r>
          </w:p>
          <w:p w:rsidR="00A968D5" w:rsidRPr="00933BBE" w:rsidRDefault="00A968D5" w:rsidP="00C61DAF">
            <w:pPr>
              <w:jc w:val="center"/>
              <w:rPr>
                <w:lang w:val="sr-Cyrl-CS"/>
              </w:rPr>
            </w:pPr>
            <w:r w:rsidRPr="00933BBE">
              <w:rPr>
                <w:lang w:val="sr-Cyrl-CS"/>
              </w:rPr>
              <w:t>кожарство</w:t>
            </w:r>
          </w:p>
        </w:tc>
        <w:tc>
          <w:tcPr>
            <w:tcW w:w="1003" w:type="dxa"/>
            <w:vAlign w:val="center"/>
          </w:tcPr>
          <w:p w:rsidR="00A968D5" w:rsidRPr="00AB5FF2" w:rsidRDefault="00512594" w:rsidP="00C61DA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30</w:t>
            </w:r>
          </w:p>
        </w:tc>
        <w:tc>
          <w:tcPr>
            <w:tcW w:w="1440" w:type="dxa"/>
            <w:vAlign w:val="center"/>
          </w:tcPr>
          <w:p w:rsidR="00A968D5" w:rsidRPr="00933BBE" w:rsidRDefault="00A968D5" w:rsidP="00C61DA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...</w:t>
            </w:r>
          </w:p>
        </w:tc>
        <w:tc>
          <w:tcPr>
            <w:tcW w:w="1080" w:type="dxa"/>
            <w:tcBorders>
              <w:right w:val="double" w:sz="4" w:space="0" w:color="auto"/>
            </w:tcBorders>
            <w:vAlign w:val="center"/>
          </w:tcPr>
          <w:p w:rsidR="00A968D5" w:rsidRPr="00933BBE" w:rsidRDefault="00512594" w:rsidP="00512594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30</w:t>
            </w:r>
          </w:p>
        </w:tc>
        <w:tc>
          <w:tcPr>
            <w:tcW w:w="1080" w:type="dxa"/>
            <w:tcBorders>
              <w:left w:val="double" w:sz="4" w:space="0" w:color="auto"/>
            </w:tcBorders>
            <w:vAlign w:val="center"/>
          </w:tcPr>
          <w:p w:rsidR="00A968D5" w:rsidRPr="00AB5FF2" w:rsidRDefault="00A968D5" w:rsidP="00512594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</w:t>
            </w:r>
            <w:r w:rsidR="00512594">
              <w:rPr>
                <w:lang w:val="sr-Cyrl-RS"/>
              </w:rPr>
              <w:t>5</w:t>
            </w:r>
          </w:p>
        </w:tc>
        <w:tc>
          <w:tcPr>
            <w:tcW w:w="1440" w:type="dxa"/>
            <w:vAlign w:val="center"/>
          </w:tcPr>
          <w:p w:rsidR="00A968D5" w:rsidRPr="00AB5FF2" w:rsidRDefault="00A968D5" w:rsidP="00C61DA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...</w:t>
            </w:r>
          </w:p>
        </w:tc>
        <w:tc>
          <w:tcPr>
            <w:tcW w:w="1080" w:type="dxa"/>
            <w:vAlign w:val="center"/>
          </w:tcPr>
          <w:p w:rsidR="00A968D5" w:rsidRPr="00AB5FF2" w:rsidRDefault="00A968D5" w:rsidP="00512594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</w:t>
            </w:r>
            <w:r w:rsidR="00512594">
              <w:rPr>
                <w:lang w:val="sr-Cyrl-RS"/>
              </w:rPr>
              <w:t>5</w:t>
            </w:r>
          </w:p>
        </w:tc>
        <w:tc>
          <w:tcPr>
            <w:tcW w:w="1517" w:type="dxa"/>
            <w:tcBorders>
              <w:right w:val="thickThinSmallGap" w:sz="24" w:space="0" w:color="auto"/>
            </w:tcBorders>
            <w:vAlign w:val="center"/>
          </w:tcPr>
          <w:p w:rsidR="00A968D5" w:rsidRPr="00933BBE" w:rsidRDefault="00512594" w:rsidP="00C61DA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83,33</w:t>
            </w:r>
            <w:r w:rsidR="00A968D5" w:rsidRPr="00933BBE">
              <w:rPr>
                <w:lang w:val="sr-Cyrl-CS"/>
              </w:rPr>
              <w:t>%</w:t>
            </w:r>
          </w:p>
        </w:tc>
      </w:tr>
      <w:tr w:rsidR="00A968D5" w:rsidRPr="00933BBE" w:rsidTr="00C61DAF">
        <w:trPr>
          <w:jc w:val="center"/>
        </w:trPr>
        <w:tc>
          <w:tcPr>
            <w:tcW w:w="1877" w:type="dxa"/>
            <w:tcBorders>
              <w:left w:val="thinThickSmallGap" w:sz="24" w:space="0" w:color="auto"/>
            </w:tcBorders>
            <w:vAlign w:val="center"/>
          </w:tcPr>
          <w:p w:rsidR="00A968D5" w:rsidRPr="00933BBE" w:rsidRDefault="00A968D5" w:rsidP="00C61DAF">
            <w:pPr>
              <w:jc w:val="center"/>
              <w:rPr>
                <w:lang w:val="sr-Cyrl-CS"/>
              </w:rPr>
            </w:pPr>
            <w:r w:rsidRPr="00933BBE">
              <w:rPr>
                <w:lang w:val="sr-Cyrl-CS"/>
              </w:rPr>
              <w:t>Геодезија и</w:t>
            </w:r>
          </w:p>
          <w:p w:rsidR="00A968D5" w:rsidRPr="00933BBE" w:rsidRDefault="00A968D5" w:rsidP="00C61DAF">
            <w:pPr>
              <w:jc w:val="center"/>
              <w:rPr>
                <w:lang w:val="sr-Cyrl-CS"/>
              </w:rPr>
            </w:pPr>
            <w:r w:rsidRPr="00933BBE">
              <w:rPr>
                <w:lang w:val="sr-Cyrl-CS"/>
              </w:rPr>
              <w:t>грађевинарство</w:t>
            </w:r>
          </w:p>
        </w:tc>
        <w:tc>
          <w:tcPr>
            <w:tcW w:w="1003" w:type="dxa"/>
            <w:vAlign w:val="center"/>
          </w:tcPr>
          <w:p w:rsidR="00A968D5" w:rsidRPr="00AB5FF2" w:rsidRDefault="00512594" w:rsidP="00C61DA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30</w:t>
            </w:r>
          </w:p>
        </w:tc>
        <w:tc>
          <w:tcPr>
            <w:tcW w:w="1440" w:type="dxa"/>
            <w:vAlign w:val="center"/>
          </w:tcPr>
          <w:p w:rsidR="00A968D5" w:rsidRPr="00502047" w:rsidRDefault="00512594" w:rsidP="00C61DA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6</w:t>
            </w:r>
            <w:r w:rsidR="00A968D5">
              <w:rPr>
                <w:lang w:val="sr-Cyrl-RS"/>
              </w:rPr>
              <w:t>0</w:t>
            </w:r>
          </w:p>
        </w:tc>
        <w:tc>
          <w:tcPr>
            <w:tcW w:w="1080" w:type="dxa"/>
            <w:tcBorders>
              <w:right w:val="double" w:sz="4" w:space="0" w:color="auto"/>
            </w:tcBorders>
            <w:vAlign w:val="center"/>
          </w:tcPr>
          <w:p w:rsidR="00A968D5" w:rsidRPr="00AB5FF2" w:rsidRDefault="00512594" w:rsidP="00C61DA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9</w:t>
            </w:r>
            <w:r w:rsidR="00A968D5">
              <w:rPr>
                <w:lang w:val="sr-Cyrl-RS"/>
              </w:rPr>
              <w:t>0</w:t>
            </w:r>
          </w:p>
        </w:tc>
        <w:tc>
          <w:tcPr>
            <w:tcW w:w="1080" w:type="dxa"/>
            <w:tcBorders>
              <w:left w:val="double" w:sz="4" w:space="0" w:color="auto"/>
            </w:tcBorders>
            <w:vAlign w:val="center"/>
          </w:tcPr>
          <w:p w:rsidR="00A968D5" w:rsidRPr="00AB5FF2" w:rsidRDefault="00A968D5" w:rsidP="00512594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  <w:r w:rsidR="00512594">
              <w:rPr>
                <w:lang w:val="sr-Cyrl-RS"/>
              </w:rPr>
              <w:t>0</w:t>
            </w:r>
          </w:p>
        </w:tc>
        <w:tc>
          <w:tcPr>
            <w:tcW w:w="1440" w:type="dxa"/>
            <w:vAlign w:val="center"/>
          </w:tcPr>
          <w:p w:rsidR="00A968D5" w:rsidRPr="00AB5FF2" w:rsidRDefault="00A968D5" w:rsidP="00512594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  <w:r w:rsidR="00512594">
              <w:rPr>
                <w:lang w:val="sr-Cyrl-RS"/>
              </w:rPr>
              <w:t>9</w:t>
            </w:r>
          </w:p>
        </w:tc>
        <w:tc>
          <w:tcPr>
            <w:tcW w:w="1080" w:type="dxa"/>
            <w:vAlign w:val="center"/>
          </w:tcPr>
          <w:p w:rsidR="00A968D5" w:rsidRPr="00AB5FF2" w:rsidRDefault="00A968D5" w:rsidP="00C61DA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29</w:t>
            </w:r>
          </w:p>
        </w:tc>
        <w:tc>
          <w:tcPr>
            <w:tcW w:w="1517" w:type="dxa"/>
            <w:tcBorders>
              <w:right w:val="thickThinSmallGap" w:sz="24" w:space="0" w:color="auto"/>
            </w:tcBorders>
            <w:vAlign w:val="center"/>
          </w:tcPr>
          <w:p w:rsidR="00A968D5" w:rsidRPr="00933BBE" w:rsidRDefault="00512594" w:rsidP="00512594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32</w:t>
            </w:r>
            <w:r w:rsidR="00A968D5">
              <w:rPr>
                <w:lang w:val="sr-Cyrl-CS"/>
              </w:rPr>
              <w:t>,</w:t>
            </w:r>
            <w:r>
              <w:rPr>
                <w:lang w:val="sr-Cyrl-CS"/>
              </w:rPr>
              <w:t>22</w:t>
            </w:r>
            <w:r w:rsidR="00A968D5" w:rsidRPr="00933BBE">
              <w:rPr>
                <w:lang w:val="sr-Cyrl-CS"/>
              </w:rPr>
              <w:t>%</w:t>
            </w:r>
          </w:p>
        </w:tc>
      </w:tr>
      <w:tr w:rsidR="00A968D5" w:rsidRPr="00933BBE" w:rsidTr="00C61DAF">
        <w:trPr>
          <w:jc w:val="center"/>
        </w:trPr>
        <w:tc>
          <w:tcPr>
            <w:tcW w:w="1877" w:type="dxa"/>
            <w:tcBorders>
              <w:left w:val="thinThickSmallGap" w:sz="24" w:space="0" w:color="auto"/>
            </w:tcBorders>
            <w:vAlign w:val="center"/>
          </w:tcPr>
          <w:p w:rsidR="00A968D5" w:rsidRPr="00933BBE" w:rsidRDefault="00A968D5" w:rsidP="00C61DAF">
            <w:pPr>
              <w:jc w:val="center"/>
              <w:rPr>
                <w:lang w:val="sr-Cyrl-CS"/>
              </w:rPr>
            </w:pPr>
            <w:r w:rsidRPr="00933BBE">
              <w:rPr>
                <w:lang w:val="sr-Cyrl-CS"/>
              </w:rPr>
              <w:t>Саобраћај</w:t>
            </w:r>
          </w:p>
          <w:p w:rsidR="00A968D5" w:rsidRPr="00933BBE" w:rsidRDefault="00A968D5" w:rsidP="00C61DAF">
            <w:pPr>
              <w:jc w:val="center"/>
              <w:rPr>
                <w:lang w:val="sr-Cyrl-CS"/>
              </w:rPr>
            </w:pPr>
          </w:p>
        </w:tc>
        <w:tc>
          <w:tcPr>
            <w:tcW w:w="1003" w:type="dxa"/>
            <w:vAlign w:val="center"/>
          </w:tcPr>
          <w:p w:rsidR="00A968D5" w:rsidRPr="007641D6" w:rsidRDefault="00A968D5" w:rsidP="00C61DAF">
            <w:pPr>
              <w:jc w:val="center"/>
            </w:pPr>
            <w:r>
              <w:t>300</w:t>
            </w:r>
          </w:p>
        </w:tc>
        <w:tc>
          <w:tcPr>
            <w:tcW w:w="1440" w:type="dxa"/>
            <w:vAlign w:val="center"/>
          </w:tcPr>
          <w:p w:rsidR="00A968D5" w:rsidRPr="007641D6" w:rsidRDefault="00A968D5" w:rsidP="00C61DAF">
            <w:pPr>
              <w:jc w:val="center"/>
            </w:pPr>
            <w:r>
              <w:rPr>
                <w:lang w:val="sr-Cyrl-RS"/>
              </w:rPr>
              <w:t>3</w:t>
            </w:r>
            <w:r>
              <w:t>0</w:t>
            </w:r>
          </w:p>
        </w:tc>
        <w:tc>
          <w:tcPr>
            <w:tcW w:w="1080" w:type="dxa"/>
            <w:tcBorders>
              <w:right w:val="double" w:sz="4" w:space="0" w:color="auto"/>
            </w:tcBorders>
            <w:vAlign w:val="center"/>
          </w:tcPr>
          <w:p w:rsidR="00A968D5" w:rsidRPr="00933BBE" w:rsidRDefault="00A968D5" w:rsidP="00C61DAF">
            <w:pPr>
              <w:jc w:val="center"/>
            </w:pPr>
            <w:r w:rsidRPr="00933BBE">
              <w:t>3</w:t>
            </w:r>
            <w:r>
              <w:rPr>
                <w:lang w:val="sr-Cyrl-RS"/>
              </w:rPr>
              <w:t>3</w:t>
            </w:r>
            <w:r w:rsidRPr="00933BBE">
              <w:t>0</w:t>
            </w:r>
          </w:p>
        </w:tc>
        <w:tc>
          <w:tcPr>
            <w:tcW w:w="1080" w:type="dxa"/>
            <w:tcBorders>
              <w:left w:val="double" w:sz="4" w:space="0" w:color="auto"/>
            </w:tcBorders>
            <w:vAlign w:val="center"/>
          </w:tcPr>
          <w:p w:rsidR="00A968D5" w:rsidRPr="00AB5FF2" w:rsidRDefault="00512594" w:rsidP="00C61DA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290</w:t>
            </w:r>
          </w:p>
        </w:tc>
        <w:tc>
          <w:tcPr>
            <w:tcW w:w="1440" w:type="dxa"/>
            <w:vAlign w:val="center"/>
          </w:tcPr>
          <w:p w:rsidR="00A968D5" w:rsidRPr="00AB5FF2" w:rsidRDefault="00512594" w:rsidP="00C61DA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17</w:t>
            </w:r>
          </w:p>
        </w:tc>
        <w:tc>
          <w:tcPr>
            <w:tcW w:w="1080" w:type="dxa"/>
            <w:vAlign w:val="center"/>
          </w:tcPr>
          <w:p w:rsidR="00A968D5" w:rsidRPr="00AB5FF2" w:rsidRDefault="00A968D5" w:rsidP="00512594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</w:t>
            </w:r>
            <w:r w:rsidR="00512594">
              <w:rPr>
                <w:lang w:val="sr-Cyrl-RS"/>
              </w:rPr>
              <w:t>07</w:t>
            </w:r>
          </w:p>
        </w:tc>
        <w:tc>
          <w:tcPr>
            <w:tcW w:w="1517" w:type="dxa"/>
            <w:tcBorders>
              <w:right w:val="thickThinSmallGap" w:sz="24" w:space="0" w:color="auto"/>
            </w:tcBorders>
            <w:vAlign w:val="center"/>
          </w:tcPr>
          <w:p w:rsidR="00A968D5" w:rsidRPr="00933BBE" w:rsidRDefault="00A968D5" w:rsidP="00512594">
            <w:pPr>
              <w:jc w:val="center"/>
              <w:rPr>
                <w:lang w:val="sr-Cyrl-CS"/>
              </w:rPr>
            </w:pPr>
            <w:r w:rsidRPr="00933BBE">
              <w:rPr>
                <w:lang w:val="sr-Cyrl-CS"/>
              </w:rPr>
              <w:t>9</w:t>
            </w:r>
            <w:r w:rsidR="00512594">
              <w:rPr>
                <w:lang w:val="sr-Cyrl-CS"/>
              </w:rPr>
              <w:t>3</w:t>
            </w:r>
            <w:r w:rsidRPr="00933BBE">
              <w:rPr>
                <w:lang w:val="sr-Cyrl-CS"/>
              </w:rPr>
              <w:t>,</w:t>
            </w:r>
            <w:r w:rsidR="00512594">
              <w:rPr>
                <w:lang w:val="sr-Cyrl-CS"/>
              </w:rPr>
              <w:t>03</w:t>
            </w:r>
            <w:r w:rsidRPr="00933BBE">
              <w:rPr>
                <w:lang w:val="sr-Cyrl-CS"/>
              </w:rPr>
              <w:t>%</w:t>
            </w:r>
          </w:p>
        </w:tc>
      </w:tr>
      <w:tr w:rsidR="00A968D5" w:rsidRPr="00AC753C" w:rsidTr="00C61DAF">
        <w:trPr>
          <w:jc w:val="center"/>
        </w:trPr>
        <w:tc>
          <w:tcPr>
            <w:tcW w:w="1877" w:type="dxa"/>
            <w:tcBorders>
              <w:left w:val="thinThickSmallGap" w:sz="24" w:space="0" w:color="auto"/>
            </w:tcBorders>
            <w:vAlign w:val="center"/>
          </w:tcPr>
          <w:p w:rsidR="00A968D5" w:rsidRPr="00AC753C" w:rsidRDefault="00A968D5" w:rsidP="00C61DAF">
            <w:pPr>
              <w:jc w:val="center"/>
              <w:rPr>
                <w:lang w:val="sr-Cyrl-CS"/>
              </w:rPr>
            </w:pPr>
            <w:r w:rsidRPr="00AC753C">
              <w:rPr>
                <w:lang w:val="sr-Cyrl-CS"/>
              </w:rPr>
              <w:t>Трговина, угоститељство и туризам</w:t>
            </w:r>
          </w:p>
        </w:tc>
        <w:tc>
          <w:tcPr>
            <w:tcW w:w="1003" w:type="dxa"/>
            <w:vAlign w:val="center"/>
          </w:tcPr>
          <w:p w:rsidR="00A968D5" w:rsidRPr="00AC753C" w:rsidRDefault="00A968D5" w:rsidP="00512594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9</w:t>
            </w:r>
            <w:r w:rsidR="00512594">
              <w:rPr>
                <w:lang w:val="sr-Cyrl-RS"/>
              </w:rPr>
              <w:t>3</w:t>
            </w:r>
            <w:r>
              <w:rPr>
                <w:lang w:val="sr-Cyrl-RS"/>
              </w:rPr>
              <w:t>0</w:t>
            </w:r>
          </w:p>
        </w:tc>
        <w:tc>
          <w:tcPr>
            <w:tcW w:w="1440" w:type="dxa"/>
            <w:vAlign w:val="center"/>
          </w:tcPr>
          <w:p w:rsidR="00A968D5" w:rsidRPr="00AC753C" w:rsidRDefault="00A968D5" w:rsidP="00C61DAF">
            <w:pPr>
              <w:jc w:val="center"/>
            </w:pPr>
            <w:r w:rsidRPr="00AC753C">
              <w:rPr>
                <w:lang w:val="sr-Cyrl-CS"/>
              </w:rPr>
              <w:t>1</w:t>
            </w:r>
            <w:r w:rsidR="00512594">
              <w:rPr>
                <w:lang w:val="sr-Cyrl-CS"/>
              </w:rPr>
              <w:t>8</w:t>
            </w:r>
            <w:r w:rsidRPr="00AC753C">
              <w:rPr>
                <w:lang w:val="sr-Cyrl-CS"/>
              </w:rPr>
              <w:t>0</w:t>
            </w:r>
          </w:p>
        </w:tc>
        <w:tc>
          <w:tcPr>
            <w:tcW w:w="1080" w:type="dxa"/>
            <w:tcBorders>
              <w:right w:val="double" w:sz="4" w:space="0" w:color="auto"/>
            </w:tcBorders>
            <w:vAlign w:val="center"/>
          </w:tcPr>
          <w:p w:rsidR="00A968D5" w:rsidRPr="00AC753C" w:rsidRDefault="00A968D5" w:rsidP="00512594">
            <w:pPr>
              <w:jc w:val="center"/>
            </w:pPr>
            <w:r w:rsidRPr="00AC753C">
              <w:rPr>
                <w:lang w:val="sr-Cyrl-CS"/>
              </w:rPr>
              <w:t>1.</w:t>
            </w:r>
            <w:r w:rsidR="00512594">
              <w:rPr>
                <w:lang w:val="sr-Cyrl-CS"/>
              </w:rPr>
              <w:t>11</w:t>
            </w:r>
            <w:r>
              <w:rPr>
                <w:lang w:val="sr-Cyrl-CS"/>
              </w:rPr>
              <w:t>0</w:t>
            </w:r>
          </w:p>
        </w:tc>
        <w:tc>
          <w:tcPr>
            <w:tcW w:w="1080" w:type="dxa"/>
            <w:tcBorders>
              <w:left w:val="double" w:sz="4" w:space="0" w:color="auto"/>
            </w:tcBorders>
            <w:vAlign w:val="center"/>
          </w:tcPr>
          <w:p w:rsidR="00A968D5" w:rsidRPr="00AC753C" w:rsidRDefault="00512594" w:rsidP="00512594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786</w:t>
            </w:r>
          </w:p>
        </w:tc>
        <w:tc>
          <w:tcPr>
            <w:tcW w:w="1440" w:type="dxa"/>
            <w:vAlign w:val="center"/>
          </w:tcPr>
          <w:p w:rsidR="00A968D5" w:rsidRPr="00AC753C" w:rsidRDefault="00512594" w:rsidP="00C61DA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116</w:t>
            </w:r>
          </w:p>
        </w:tc>
        <w:tc>
          <w:tcPr>
            <w:tcW w:w="1080" w:type="dxa"/>
            <w:vAlign w:val="center"/>
          </w:tcPr>
          <w:p w:rsidR="00A968D5" w:rsidRPr="00502047" w:rsidRDefault="00A968D5" w:rsidP="00512594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9</w:t>
            </w:r>
            <w:r w:rsidR="00512594">
              <w:rPr>
                <w:lang w:val="sr-Cyrl-RS"/>
              </w:rPr>
              <w:t>02</w:t>
            </w:r>
          </w:p>
        </w:tc>
        <w:tc>
          <w:tcPr>
            <w:tcW w:w="1517" w:type="dxa"/>
            <w:tcBorders>
              <w:right w:val="thickThinSmallGap" w:sz="24" w:space="0" w:color="auto"/>
            </w:tcBorders>
            <w:vAlign w:val="center"/>
          </w:tcPr>
          <w:p w:rsidR="00A968D5" w:rsidRPr="00AC753C" w:rsidRDefault="00A968D5" w:rsidP="00512594">
            <w:pPr>
              <w:jc w:val="center"/>
              <w:rPr>
                <w:lang w:val="sr-Cyrl-CS"/>
              </w:rPr>
            </w:pPr>
            <w:r w:rsidRPr="00AC753C">
              <w:rPr>
                <w:lang w:val="sr-Cyrl-CS"/>
              </w:rPr>
              <w:t>8</w:t>
            </w:r>
            <w:r w:rsidR="00512594">
              <w:rPr>
                <w:lang w:val="sr-Cyrl-CS"/>
              </w:rPr>
              <w:t>1</w:t>
            </w:r>
            <w:r w:rsidRPr="00AC753C">
              <w:rPr>
                <w:lang w:val="sr-Cyrl-CS"/>
              </w:rPr>
              <w:t>,</w:t>
            </w:r>
            <w:r>
              <w:rPr>
                <w:lang w:val="sr-Cyrl-CS"/>
              </w:rPr>
              <w:t>26</w:t>
            </w:r>
            <w:r w:rsidRPr="00AC753C">
              <w:rPr>
                <w:lang w:val="sr-Cyrl-CS"/>
              </w:rPr>
              <w:t>%</w:t>
            </w:r>
          </w:p>
        </w:tc>
      </w:tr>
      <w:tr w:rsidR="00A968D5" w:rsidRPr="00AC753C" w:rsidTr="00C61DAF">
        <w:trPr>
          <w:jc w:val="center"/>
        </w:trPr>
        <w:tc>
          <w:tcPr>
            <w:tcW w:w="1877" w:type="dxa"/>
            <w:tcBorders>
              <w:left w:val="thinThickSmallGap" w:sz="24" w:space="0" w:color="auto"/>
            </w:tcBorders>
            <w:vAlign w:val="center"/>
          </w:tcPr>
          <w:p w:rsidR="00A968D5" w:rsidRPr="00AC753C" w:rsidRDefault="00A968D5" w:rsidP="00C61DAF">
            <w:pPr>
              <w:jc w:val="center"/>
              <w:rPr>
                <w:lang w:val="sr-Cyrl-CS"/>
              </w:rPr>
            </w:pPr>
            <w:r w:rsidRPr="00AC753C">
              <w:rPr>
                <w:lang w:val="sr-Cyrl-CS"/>
              </w:rPr>
              <w:t>Личне услуге</w:t>
            </w:r>
          </w:p>
          <w:p w:rsidR="00A968D5" w:rsidRPr="00AC753C" w:rsidRDefault="00A968D5" w:rsidP="00C61DAF">
            <w:pPr>
              <w:jc w:val="center"/>
              <w:rPr>
                <w:lang w:val="sr-Cyrl-CS"/>
              </w:rPr>
            </w:pPr>
          </w:p>
        </w:tc>
        <w:tc>
          <w:tcPr>
            <w:tcW w:w="1003" w:type="dxa"/>
            <w:vAlign w:val="center"/>
          </w:tcPr>
          <w:p w:rsidR="00A968D5" w:rsidRPr="00AC753C" w:rsidRDefault="00A968D5" w:rsidP="00512594">
            <w:pPr>
              <w:jc w:val="center"/>
            </w:pPr>
            <w:r w:rsidRPr="00AC753C">
              <w:t>4</w:t>
            </w:r>
            <w:r w:rsidR="00512594">
              <w:rPr>
                <w:lang w:val="sr-Cyrl-RS"/>
              </w:rPr>
              <w:t>2</w:t>
            </w:r>
            <w:r w:rsidRPr="00AC753C">
              <w:t>0</w:t>
            </w:r>
          </w:p>
        </w:tc>
        <w:tc>
          <w:tcPr>
            <w:tcW w:w="1440" w:type="dxa"/>
            <w:vAlign w:val="center"/>
          </w:tcPr>
          <w:p w:rsidR="00A968D5" w:rsidRPr="00AC753C" w:rsidRDefault="00512594" w:rsidP="00C61DA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6</w:t>
            </w:r>
            <w:r w:rsidR="00A968D5" w:rsidRPr="00AC753C">
              <w:rPr>
                <w:lang w:val="sr-Cyrl-CS"/>
              </w:rPr>
              <w:t>0</w:t>
            </w:r>
          </w:p>
        </w:tc>
        <w:tc>
          <w:tcPr>
            <w:tcW w:w="1080" w:type="dxa"/>
            <w:tcBorders>
              <w:right w:val="double" w:sz="4" w:space="0" w:color="auto"/>
            </w:tcBorders>
            <w:vAlign w:val="center"/>
          </w:tcPr>
          <w:p w:rsidR="00A968D5" w:rsidRPr="00AC753C" w:rsidRDefault="00A968D5" w:rsidP="00C61DAF">
            <w:pPr>
              <w:jc w:val="center"/>
              <w:rPr>
                <w:lang w:val="sr-Cyrl-CS"/>
              </w:rPr>
            </w:pPr>
            <w:r w:rsidRPr="00AC753C">
              <w:rPr>
                <w:lang w:val="sr-Cyrl-CS"/>
              </w:rPr>
              <w:t>480</w:t>
            </w:r>
          </w:p>
        </w:tc>
        <w:tc>
          <w:tcPr>
            <w:tcW w:w="1080" w:type="dxa"/>
            <w:tcBorders>
              <w:left w:val="double" w:sz="4" w:space="0" w:color="auto"/>
            </w:tcBorders>
            <w:vAlign w:val="center"/>
          </w:tcPr>
          <w:p w:rsidR="00A968D5" w:rsidRPr="00512594" w:rsidRDefault="00A968D5" w:rsidP="00512594">
            <w:pPr>
              <w:jc w:val="center"/>
              <w:rPr>
                <w:lang w:val="sr-Cyrl-RS"/>
              </w:rPr>
            </w:pPr>
            <w:r w:rsidRPr="00AC753C">
              <w:t>3</w:t>
            </w:r>
            <w:r w:rsidR="00512594">
              <w:rPr>
                <w:lang w:val="sr-Cyrl-RS"/>
              </w:rPr>
              <w:t>26</w:t>
            </w:r>
          </w:p>
        </w:tc>
        <w:tc>
          <w:tcPr>
            <w:tcW w:w="1440" w:type="dxa"/>
            <w:vAlign w:val="center"/>
          </w:tcPr>
          <w:p w:rsidR="00A968D5" w:rsidRPr="00512594" w:rsidRDefault="00512594" w:rsidP="00C61DA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22</w:t>
            </w:r>
          </w:p>
        </w:tc>
        <w:tc>
          <w:tcPr>
            <w:tcW w:w="1080" w:type="dxa"/>
            <w:vAlign w:val="center"/>
          </w:tcPr>
          <w:p w:rsidR="00A968D5" w:rsidRPr="00AC753C" w:rsidRDefault="00A968D5" w:rsidP="00512594">
            <w:pPr>
              <w:jc w:val="center"/>
              <w:rPr>
                <w:lang w:val="sr-Cyrl-RS"/>
              </w:rPr>
            </w:pPr>
            <w:r w:rsidRPr="00AC753C">
              <w:rPr>
                <w:lang w:val="sr-Cyrl-RS"/>
              </w:rPr>
              <w:t>3</w:t>
            </w:r>
            <w:r w:rsidR="00512594">
              <w:rPr>
                <w:lang w:val="sr-Cyrl-RS"/>
              </w:rPr>
              <w:t>48</w:t>
            </w:r>
          </w:p>
        </w:tc>
        <w:tc>
          <w:tcPr>
            <w:tcW w:w="1517" w:type="dxa"/>
            <w:tcBorders>
              <w:right w:val="thickThinSmallGap" w:sz="24" w:space="0" w:color="auto"/>
            </w:tcBorders>
            <w:vAlign w:val="center"/>
          </w:tcPr>
          <w:p w:rsidR="00A968D5" w:rsidRPr="00AC753C" w:rsidRDefault="00A968D5" w:rsidP="00512594">
            <w:pPr>
              <w:jc w:val="center"/>
              <w:rPr>
                <w:lang w:val="sr-Cyrl-CS"/>
              </w:rPr>
            </w:pPr>
            <w:r w:rsidRPr="00AC753C">
              <w:t>7</w:t>
            </w:r>
            <w:r w:rsidR="00512594">
              <w:rPr>
                <w:lang w:val="sr-Cyrl-RS"/>
              </w:rPr>
              <w:t>2</w:t>
            </w:r>
            <w:r w:rsidRPr="00AC753C">
              <w:rPr>
                <w:lang w:val="sr-Cyrl-CS"/>
              </w:rPr>
              <w:t>,</w:t>
            </w:r>
            <w:r w:rsidR="00512594">
              <w:rPr>
                <w:lang w:val="sr-Cyrl-CS"/>
              </w:rPr>
              <w:t>5</w:t>
            </w:r>
            <w:r w:rsidRPr="00AC753C">
              <w:rPr>
                <w:lang w:val="sr-Cyrl-CS"/>
              </w:rPr>
              <w:t>%</w:t>
            </w:r>
          </w:p>
        </w:tc>
      </w:tr>
      <w:tr w:rsidR="00A968D5" w:rsidRPr="00AC753C" w:rsidTr="00C61DAF">
        <w:trPr>
          <w:jc w:val="center"/>
        </w:trPr>
        <w:tc>
          <w:tcPr>
            <w:tcW w:w="1877" w:type="dxa"/>
            <w:tcBorders>
              <w:left w:val="thinThickSmallGap" w:sz="24" w:space="0" w:color="auto"/>
              <w:bottom w:val="single" w:sz="4" w:space="0" w:color="auto"/>
            </w:tcBorders>
            <w:vAlign w:val="center"/>
          </w:tcPr>
          <w:p w:rsidR="00A968D5" w:rsidRPr="00AC753C" w:rsidRDefault="00A968D5" w:rsidP="00C61DAF">
            <w:pPr>
              <w:jc w:val="center"/>
              <w:rPr>
                <w:lang w:val="sr-Cyrl-CS"/>
              </w:rPr>
            </w:pPr>
            <w:r w:rsidRPr="00AC753C">
              <w:rPr>
                <w:lang w:val="sr-Cyrl-CS"/>
              </w:rPr>
              <w:t>Здравство и</w:t>
            </w:r>
          </w:p>
          <w:p w:rsidR="00A968D5" w:rsidRPr="00AC753C" w:rsidRDefault="00A968D5" w:rsidP="00C61DAF">
            <w:pPr>
              <w:jc w:val="center"/>
              <w:rPr>
                <w:lang w:val="sr-Cyrl-CS"/>
              </w:rPr>
            </w:pPr>
            <w:r w:rsidRPr="00AC753C">
              <w:rPr>
                <w:lang w:val="sr-Cyrl-CS"/>
              </w:rPr>
              <w:t>социјална заштита</w:t>
            </w:r>
          </w:p>
        </w:tc>
        <w:tc>
          <w:tcPr>
            <w:tcW w:w="1003" w:type="dxa"/>
            <w:tcBorders>
              <w:bottom w:val="single" w:sz="4" w:space="0" w:color="auto"/>
            </w:tcBorders>
            <w:vAlign w:val="center"/>
          </w:tcPr>
          <w:p w:rsidR="00A968D5" w:rsidRPr="00AC753C" w:rsidRDefault="00512594" w:rsidP="00C61DA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3</w:t>
            </w:r>
            <w:r w:rsidR="00A968D5" w:rsidRPr="00AC753C">
              <w:rPr>
                <w:lang w:val="sr-Cyrl-CS"/>
              </w:rPr>
              <w:t>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A968D5" w:rsidRPr="00AC753C" w:rsidRDefault="00A968D5" w:rsidP="00C61DAF">
            <w:pPr>
              <w:jc w:val="center"/>
              <w:rPr>
                <w:lang w:val="sr-Cyrl-CS"/>
              </w:rPr>
            </w:pPr>
            <w:r w:rsidRPr="00AC753C">
              <w:rPr>
                <w:lang w:val="sr-Cyrl-CS"/>
              </w:rPr>
              <w:t>...</w:t>
            </w:r>
          </w:p>
        </w:tc>
        <w:tc>
          <w:tcPr>
            <w:tcW w:w="1080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A968D5" w:rsidRPr="00AC753C" w:rsidRDefault="00512594" w:rsidP="00C61DA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3</w:t>
            </w:r>
            <w:r w:rsidR="00A968D5" w:rsidRPr="00AC753C">
              <w:rPr>
                <w:lang w:val="sr-Cyrl-CS"/>
              </w:rPr>
              <w:t>0</w:t>
            </w:r>
          </w:p>
        </w:tc>
        <w:tc>
          <w:tcPr>
            <w:tcW w:w="1080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A968D5" w:rsidRPr="00AC753C" w:rsidRDefault="00A968D5" w:rsidP="00512594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</w:t>
            </w:r>
            <w:r w:rsidR="00512594">
              <w:rPr>
                <w:lang w:val="sr-Cyrl-RS"/>
              </w:rPr>
              <w:t>4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A968D5" w:rsidRPr="00AC753C" w:rsidRDefault="00A968D5" w:rsidP="00C61DAF">
            <w:pPr>
              <w:jc w:val="center"/>
              <w:rPr>
                <w:lang w:val="sr-Cyrl-CS"/>
              </w:rPr>
            </w:pPr>
            <w:r w:rsidRPr="00AC753C">
              <w:rPr>
                <w:lang w:val="sr-Cyrl-CS"/>
              </w:rPr>
              <w:t>...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A968D5" w:rsidRPr="00502047" w:rsidRDefault="00A968D5" w:rsidP="00512594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</w:t>
            </w:r>
            <w:r w:rsidR="00512594">
              <w:rPr>
                <w:lang w:val="sr-Cyrl-RS"/>
              </w:rPr>
              <w:t>4</w:t>
            </w:r>
          </w:p>
        </w:tc>
        <w:tc>
          <w:tcPr>
            <w:tcW w:w="1517" w:type="dxa"/>
            <w:tcBorders>
              <w:bottom w:val="single" w:sz="4" w:space="0" w:color="auto"/>
              <w:right w:val="thickThinSmallGap" w:sz="24" w:space="0" w:color="auto"/>
            </w:tcBorders>
            <w:vAlign w:val="center"/>
          </w:tcPr>
          <w:p w:rsidR="00A968D5" w:rsidRPr="00AC753C" w:rsidRDefault="00A968D5" w:rsidP="00512594">
            <w:pPr>
              <w:jc w:val="center"/>
              <w:rPr>
                <w:lang w:val="sr-Cyrl-CS"/>
              </w:rPr>
            </w:pPr>
            <w:r>
              <w:rPr>
                <w:lang w:val="sr-Cyrl-RS"/>
              </w:rPr>
              <w:t>1</w:t>
            </w:r>
            <w:r w:rsidR="00512594">
              <w:rPr>
                <w:lang w:val="sr-Cyrl-RS"/>
              </w:rPr>
              <w:t>13,33</w:t>
            </w:r>
            <w:r w:rsidRPr="00AC753C">
              <w:rPr>
                <w:lang w:val="sr-Cyrl-CS"/>
              </w:rPr>
              <w:t>%</w:t>
            </w:r>
          </w:p>
        </w:tc>
      </w:tr>
      <w:tr w:rsidR="00512594" w:rsidRPr="00AC753C" w:rsidTr="00C61DAF">
        <w:trPr>
          <w:jc w:val="center"/>
        </w:trPr>
        <w:tc>
          <w:tcPr>
            <w:tcW w:w="1877" w:type="dxa"/>
            <w:tcBorders>
              <w:left w:val="thinThickSmallGap" w:sz="24" w:space="0" w:color="auto"/>
              <w:bottom w:val="single" w:sz="4" w:space="0" w:color="auto"/>
            </w:tcBorders>
            <w:vAlign w:val="center"/>
          </w:tcPr>
          <w:p w:rsidR="00512594" w:rsidRPr="00AC753C" w:rsidRDefault="00512594" w:rsidP="00C61DA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Геологија, рударство и металургија</w:t>
            </w:r>
          </w:p>
        </w:tc>
        <w:tc>
          <w:tcPr>
            <w:tcW w:w="1003" w:type="dxa"/>
            <w:tcBorders>
              <w:bottom w:val="single" w:sz="4" w:space="0" w:color="auto"/>
            </w:tcBorders>
            <w:vAlign w:val="center"/>
          </w:tcPr>
          <w:p w:rsidR="00512594" w:rsidRDefault="00512594" w:rsidP="00C61DA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30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512594" w:rsidRPr="00AC753C" w:rsidRDefault="00512594" w:rsidP="00C61DA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...</w:t>
            </w:r>
          </w:p>
        </w:tc>
        <w:tc>
          <w:tcPr>
            <w:tcW w:w="1080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512594" w:rsidRDefault="00512594" w:rsidP="00C61DA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30</w:t>
            </w:r>
          </w:p>
        </w:tc>
        <w:tc>
          <w:tcPr>
            <w:tcW w:w="1080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512594" w:rsidRDefault="00512594" w:rsidP="00512594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512594" w:rsidRPr="00AC753C" w:rsidRDefault="00512594" w:rsidP="00C61DA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...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512594" w:rsidRDefault="00512594" w:rsidP="00512594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30</w:t>
            </w:r>
          </w:p>
        </w:tc>
        <w:tc>
          <w:tcPr>
            <w:tcW w:w="1517" w:type="dxa"/>
            <w:tcBorders>
              <w:bottom w:val="single" w:sz="4" w:space="0" w:color="auto"/>
              <w:right w:val="thickThinSmallGap" w:sz="24" w:space="0" w:color="auto"/>
            </w:tcBorders>
            <w:vAlign w:val="center"/>
          </w:tcPr>
          <w:p w:rsidR="00512594" w:rsidRDefault="00512594" w:rsidP="00512594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100%</w:t>
            </w:r>
          </w:p>
        </w:tc>
      </w:tr>
      <w:tr w:rsidR="00A968D5" w:rsidRPr="00AC753C" w:rsidTr="00C61DAF">
        <w:trPr>
          <w:jc w:val="center"/>
        </w:trPr>
        <w:tc>
          <w:tcPr>
            <w:tcW w:w="1877" w:type="dxa"/>
            <w:tcBorders>
              <w:top w:val="single" w:sz="4" w:space="0" w:color="auto"/>
              <w:left w:val="thinThickSmallGap" w:sz="24" w:space="0" w:color="auto"/>
              <w:bottom w:val="thickThinSmallGap" w:sz="24" w:space="0" w:color="auto"/>
            </w:tcBorders>
            <w:vAlign w:val="center"/>
          </w:tcPr>
          <w:p w:rsidR="00A968D5" w:rsidRPr="00AC753C" w:rsidRDefault="00A968D5" w:rsidP="00C61DAF">
            <w:pPr>
              <w:jc w:val="center"/>
              <w:rPr>
                <w:lang w:val="sr-Cyrl-CS"/>
              </w:rPr>
            </w:pPr>
          </w:p>
          <w:p w:rsidR="00A968D5" w:rsidRPr="00AC753C" w:rsidRDefault="00A968D5" w:rsidP="00C61DAF">
            <w:pPr>
              <w:jc w:val="center"/>
              <w:rPr>
                <w:lang w:val="sr-Cyrl-CS"/>
              </w:rPr>
            </w:pPr>
            <w:r w:rsidRPr="00AC753C">
              <w:rPr>
                <w:lang w:val="sr-Cyrl-CS"/>
              </w:rPr>
              <w:t>Укупно</w:t>
            </w:r>
          </w:p>
          <w:p w:rsidR="00A968D5" w:rsidRPr="00AC753C" w:rsidRDefault="00A968D5" w:rsidP="00C61DAF">
            <w:pPr>
              <w:jc w:val="center"/>
              <w:rPr>
                <w:lang w:val="sr-Cyrl-CS"/>
              </w:rPr>
            </w:pPr>
          </w:p>
        </w:tc>
        <w:tc>
          <w:tcPr>
            <w:tcW w:w="1003" w:type="dxa"/>
            <w:tcBorders>
              <w:top w:val="single" w:sz="4" w:space="0" w:color="auto"/>
              <w:bottom w:val="thickThinSmallGap" w:sz="24" w:space="0" w:color="auto"/>
            </w:tcBorders>
            <w:vAlign w:val="center"/>
          </w:tcPr>
          <w:p w:rsidR="00A968D5" w:rsidRPr="00AC753C" w:rsidRDefault="00A968D5" w:rsidP="00512594">
            <w:pPr>
              <w:jc w:val="center"/>
            </w:pPr>
            <w:r>
              <w:rPr>
                <w:lang w:val="sr-Cyrl-CS"/>
              </w:rPr>
              <w:t>3</w:t>
            </w:r>
            <w:r w:rsidRPr="00AC753C">
              <w:rPr>
                <w:lang w:val="sr-Cyrl-CS"/>
              </w:rPr>
              <w:t>.</w:t>
            </w:r>
            <w:r w:rsidR="00512594">
              <w:rPr>
                <w:lang w:val="sr-Cyrl-CS"/>
              </w:rPr>
              <w:t>190</w:t>
            </w:r>
          </w:p>
        </w:tc>
        <w:tc>
          <w:tcPr>
            <w:tcW w:w="1440" w:type="dxa"/>
            <w:tcBorders>
              <w:top w:val="single" w:sz="4" w:space="0" w:color="auto"/>
              <w:bottom w:val="thickThinSmallGap" w:sz="24" w:space="0" w:color="auto"/>
            </w:tcBorders>
            <w:vAlign w:val="center"/>
          </w:tcPr>
          <w:p w:rsidR="00A968D5" w:rsidRPr="00AC753C" w:rsidRDefault="00512594" w:rsidP="00C61DA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530</w:t>
            </w:r>
          </w:p>
        </w:tc>
        <w:tc>
          <w:tcPr>
            <w:tcW w:w="1080" w:type="dxa"/>
            <w:tcBorders>
              <w:top w:val="single" w:sz="4" w:space="0" w:color="auto"/>
              <w:bottom w:val="thickThinSmallGap" w:sz="24" w:space="0" w:color="auto"/>
              <w:right w:val="double" w:sz="4" w:space="0" w:color="auto"/>
            </w:tcBorders>
            <w:vAlign w:val="center"/>
          </w:tcPr>
          <w:p w:rsidR="00A968D5" w:rsidRPr="00AC753C" w:rsidRDefault="00A968D5" w:rsidP="00512594">
            <w:pPr>
              <w:jc w:val="center"/>
            </w:pPr>
            <w:r>
              <w:rPr>
                <w:lang w:val="sr-Cyrl-CS"/>
              </w:rPr>
              <w:t>3</w:t>
            </w:r>
            <w:r w:rsidRPr="00AC753C">
              <w:rPr>
                <w:lang w:val="sr-Cyrl-CS"/>
              </w:rPr>
              <w:t>.</w:t>
            </w:r>
            <w:r>
              <w:rPr>
                <w:lang w:val="sr-Cyrl-CS"/>
              </w:rPr>
              <w:t>7</w:t>
            </w:r>
            <w:r w:rsidR="00512594">
              <w:rPr>
                <w:lang w:val="sr-Cyrl-CS"/>
              </w:rPr>
              <w:t>20</w:t>
            </w:r>
          </w:p>
        </w:tc>
        <w:tc>
          <w:tcPr>
            <w:tcW w:w="1080" w:type="dxa"/>
            <w:tcBorders>
              <w:top w:val="single" w:sz="4" w:space="0" w:color="auto"/>
              <w:left w:val="double" w:sz="4" w:space="0" w:color="auto"/>
              <w:bottom w:val="thickThinSmallGap" w:sz="24" w:space="0" w:color="auto"/>
            </w:tcBorders>
            <w:vAlign w:val="center"/>
          </w:tcPr>
          <w:p w:rsidR="00A968D5" w:rsidRPr="00AC753C" w:rsidRDefault="00A968D5" w:rsidP="00512594">
            <w:pPr>
              <w:jc w:val="center"/>
            </w:pPr>
            <w:r w:rsidRPr="00AC753C">
              <w:rPr>
                <w:lang w:val="sr-Cyrl-RS"/>
              </w:rPr>
              <w:t>2</w:t>
            </w:r>
            <w:r>
              <w:rPr>
                <w:lang w:val="sr-Cyrl-RS"/>
              </w:rPr>
              <w:t>.</w:t>
            </w:r>
            <w:r w:rsidR="00512594">
              <w:rPr>
                <w:lang w:val="sr-Cyrl-RS"/>
              </w:rPr>
              <w:t>325</w:t>
            </w:r>
          </w:p>
        </w:tc>
        <w:tc>
          <w:tcPr>
            <w:tcW w:w="1440" w:type="dxa"/>
            <w:tcBorders>
              <w:top w:val="single" w:sz="4" w:space="0" w:color="auto"/>
              <w:bottom w:val="thickThinSmallGap" w:sz="24" w:space="0" w:color="auto"/>
            </w:tcBorders>
            <w:vAlign w:val="center"/>
          </w:tcPr>
          <w:p w:rsidR="00A968D5" w:rsidRPr="00AC753C" w:rsidRDefault="00A968D5" w:rsidP="00512594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</w:t>
            </w:r>
            <w:r w:rsidR="00512594">
              <w:rPr>
                <w:lang w:val="sr-Cyrl-RS"/>
              </w:rPr>
              <w:t>81</w:t>
            </w:r>
          </w:p>
        </w:tc>
        <w:tc>
          <w:tcPr>
            <w:tcW w:w="1080" w:type="dxa"/>
            <w:tcBorders>
              <w:top w:val="single" w:sz="4" w:space="0" w:color="auto"/>
              <w:bottom w:val="thickThinSmallGap" w:sz="24" w:space="0" w:color="auto"/>
            </w:tcBorders>
            <w:vAlign w:val="center"/>
          </w:tcPr>
          <w:p w:rsidR="00A968D5" w:rsidRPr="00AC753C" w:rsidRDefault="00A968D5" w:rsidP="00512594">
            <w:pPr>
              <w:jc w:val="center"/>
            </w:pPr>
            <w:r>
              <w:rPr>
                <w:lang w:val="sr-Cyrl-CS"/>
              </w:rPr>
              <w:t>2</w:t>
            </w:r>
            <w:r w:rsidRPr="00AC753C">
              <w:rPr>
                <w:lang w:val="sr-Cyrl-CS"/>
              </w:rPr>
              <w:t>.</w:t>
            </w:r>
            <w:r>
              <w:rPr>
                <w:lang w:val="sr-Cyrl-CS"/>
              </w:rPr>
              <w:t>6</w:t>
            </w:r>
            <w:r w:rsidR="00512594">
              <w:rPr>
                <w:lang w:val="sr-Cyrl-CS"/>
              </w:rPr>
              <w:t>06</w:t>
            </w:r>
          </w:p>
        </w:tc>
        <w:tc>
          <w:tcPr>
            <w:tcW w:w="1517" w:type="dxa"/>
            <w:tcBorders>
              <w:top w:val="single" w:sz="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A968D5" w:rsidRPr="00AC753C" w:rsidRDefault="00A968D5" w:rsidP="00512594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7</w:t>
            </w:r>
            <w:r w:rsidR="00512594">
              <w:rPr>
                <w:lang w:val="sr-Cyrl-CS"/>
              </w:rPr>
              <w:t>0</w:t>
            </w:r>
            <w:r w:rsidRPr="00AC753C">
              <w:rPr>
                <w:lang w:val="sr-Cyrl-CS"/>
              </w:rPr>
              <w:t>,</w:t>
            </w:r>
            <w:r>
              <w:rPr>
                <w:lang w:val="sr-Cyrl-CS"/>
              </w:rPr>
              <w:t>0</w:t>
            </w:r>
            <w:r w:rsidR="00512594">
              <w:rPr>
                <w:lang w:val="sr-Cyrl-CS"/>
              </w:rPr>
              <w:t>5</w:t>
            </w:r>
            <w:r w:rsidRPr="00AC753C">
              <w:rPr>
                <w:lang w:val="sr-Cyrl-CS"/>
              </w:rPr>
              <w:t>%</w:t>
            </w:r>
          </w:p>
        </w:tc>
      </w:tr>
    </w:tbl>
    <w:p w:rsidR="00A968D5" w:rsidRDefault="00A968D5" w:rsidP="00A968D5">
      <w:pPr>
        <w:pStyle w:val="BodyText"/>
        <w:rPr>
          <w:lang w:val="sr-Cyrl-RS"/>
        </w:rPr>
      </w:pPr>
      <w:r w:rsidRPr="00933BBE">
        <w:tab/>
      </w:r>
    </w:p>
    <w:p w:rsidR="00C330E4" w:rsidRPr="00C330E4" w:rsidRDefault="00C330E4" w:rsidP="00A968D5">
      <w:pPr>
        <w:pStyle w:val="BodyText"/>
        <w:rPr>
          <w:lang w:val="sr-Cyrl-RS"/>
        </w:rPr>
      </w:pPr>
    </w:p>
    <w:p w:rsidR="00A968D5" w:rsidRDefault="00A968D5" w:rsidP="00A968D5">
      <w:pPr>
        <w:pStyle w:val="BodyText"/>
        <w:rPr>
          <w:lang w:val="sr-Cyrl-RS"/>
        </w:rPr>
      </w:pPr>
      <w:r w:rsidRPr="00933BBE">
        <w:tab/>
        <w:t xml:space="preserve">Најрационалније планирање места за упис ученика </w:t>
      </w:r>
      <w:r w:rsidRPr="00AC753C">
        <w:t xml:space="preserve">било </w:t>
      </w:r>
      <w:r w:rsidRPr="00933BBE">
        <w:t>је</w:t>
      </w:r>
      <w:r w:rsidRPr="00AC753C">
        <w:t xml:space="preserve"> у подручјима рада</w:t>
      </w:r>
      <w:r>
        <w:t>:</w:t>
      </w:r>
      <w:r w:rsidRPr="00AC753C">
        <w:t xml:space="preserve"> саобраћај – 9</w:t>
      </w:r>
      <w:r w:rsidR="007D62DF">
        <w:rPr>
          <w:lang w:val="sr-Cyrl-RS"/>
        </w:rPr>
        <w:t>3</w:t>
      </w:r>
      <w:r w:rsidRPr="00AC753C">
        <w:t>,</w:t>
      </w:r>
      <w:r w:rsidR="007D62DF">
        <w:rPr>
          <w:lang w:val="sr-Cyrl-RS"/>
        </w:rPr>
        <w:t>03</w:t>
      </w:r>
      <w:r w:rsidRPr="00AC753C">
        <w:t xml:space="preserve">%, трговина, угоститељство и туризам – </w:t>
      </w:r>
      <w:r w:rsidRPr="00AC753C">
        <w:rPr>
          <w:lang w:val="sr-Cyrl-RS"/>
        </w:rPr>
        <w:t>8</w:t>
      </w:r>
      <w:r w:rsidR="007D62DF">
        <w:rPr>
          <w:lang w:val="sr-Cyrl-RS"/>
        </w:rPr>
        <w:t>1</w:t>
      </w:r>
      <w:r w:rsidRPr="00AC753C">
        <w:t>,</w:t>
      </w:r>
      <w:r w:rsidR="007D62DF">
        <w:rPr>
          <w:lang w:val="sr-Cyrl-RS"/>
        </w:rPr>
        <w:t>26</w:t>
      </w:r>
      <w:r w:rsidRPr="00AC753C">
        <w:t>%</w:t>
      </w:r>
      <w:r w:rsidRPr="00933BBE">
        <w:t xml:space="preserve"> и личне услуге – </w:t>
      </w:r>
      <w:r w:rsidRPr="007641D6">
        <w:rPr>
          <w:lang w:val="ru-RU"/>
        </w:rPr>
        <w:t>7</w:t>
      </w:r>
      <w:r w:rsidR="007D62DF">
        <w:rPr>
          <w:lang w:val="ru-RU"/>
        </w:rPr>
        <w:t>2</w:t>
      </w:r>
      <w:r w:rsidRPr="00933BBE">
        <w:t>,</w:t>
      </w:r>
      <w:r w:rsidR="007D62DF">
        <w:rPr>
          <w:lang w:val="sr-Cyrl-RS"/>
        </w:rPr>
        <w:t>5</w:t>
      </w:r>
      <w:r w:rsidRPr="00933BBE">
        <w:t>%, с обзиром на велики број планираних места. У подручју рада здравств</w:t>
      </w:r>
      <w:r>
        <w:t>а</w:t>
      </w:r>
      <w:r w:rsidRPr="00933BBE">
        <w:t xml:space="preserve"> и социјалн</w:t>
      </w:r>
      <w:r>
        <w:t>е</w:t>
      </w:r>
      <w:r w:rsidRPr="00933BBE">
        <w:t xml:space="preserve"> заштит</w:t>
      </w:r>
      <w:r>
        <w:t>е</w:t>
      </w:r>
      <w:r w:rsidRPr="00933BBE">
        <w:t xml:space="preserve"> упис је реализован са </w:t>
      </w:r>
      <w:r w:rsidR="007D62DF">
        <w:rPr>
          <w:lang w:val="sr-Cyrl-RS"/>
        </w:rPr>
        <w:t>113,33</w:t>
      </w:r>
      <w:r w:rsidRPr="00933BBE">
        <w:t xml:space="preserve">% јер је на </w:t>
      </w:r>
      <w:r w:rsidR="007D62DF">
        <w:rPr>
          <w:lang w:val="sr-Cyrl-RS"/>
        </w:rPr>
        <w:t>3</w:t>
      </w:r>
      <w:r w:rsidRPr="00933BBE">
        <w:t>0 планираних места уписан</w:t>
      </w:r>
      <w:r>
        <w:t xml:space="preserve">о </w:t>
      </w:r>
      <w:r>
        <w:rPr>
          <w:lang w:val="ru-RU"/>
        </w:rPr>
        <w:t>3</w:t>
      </w:r>
      <w:r w:rsidR="007D62DF">
        <w:rPr>
          <w:lang w:val="ru-RU"/>
        </w:rPr>
        <w:t>4</w:t>
      </w:r>
      <w:r w:rsidRPr="00933BBE">
        <w:t xml:space="preserve"> ученик</w:t>
      </w:r>
      <w:r>
        <w:t>а</w:t>
      </w:r>
      <w:r w:rsidR="007D62DF">
        <w:rPr>
          <w:lang w:val="sr-Cyrl-RS"/>
        </w:rPr>
        <w:t>.</w:t>
      </w:r>
      <w:r w:rsidRPr="00933BBE">
        <w:t xml:space="preserve"> Нај</w:t>
      </w:r>
      <w:r>
        <w:rPr>
          <w:lang w:val="sr-Cyrl-RS"/>
        </w:rPr>
        <w:t>слабија</w:t>
      </w:r>
      <w:r w:rsidRPr="00933BBE">
        <w:t xml:space="preserve"> реализација уписа била</w:t>
      </w:r>
      <w:r w:rsidRPr="007641D6">
        <w:rPr>
          <w:lang w:val="ru-RU"/>
        </w:rPr>
        <w:t xml:space="preserve"> </w:t>
      </w:r>
      <w:r w:rsidRPr="00933BBE">
        <w:t>је у подручју рада</w:t>
      </w:r>
      <w:r>
        <w:rPr>
          <w:lang w:val="sr-Cyrl-RS"/>
        </w:rPr>
        <w:t xml:space="preserve"> –геодезија</w:t>
      </w:r>
      <w:r w:rsidRPr="00933BBE">
        <w:t xml:space="preserve"> </w:t>
      </w:r>
      <w:r>
        <w:rPr>
          <w:lang w:val="sr-Cyrl-RS"/>
        </w:rPr>
        <w:t>и грађевинарство (3</w:t>
      </w:r>
      <w:r w:rsidR="007D62DF">
        <w:rPr>
          <w:lang w:val="sr-Cyrl-RS"/>
        </w:rPr>
        <w:t>2</w:t>
      </w:r>
      <w:r>
        <w:rPr>
          <w:lang w:val="sr-Cyrl-RS"/>
        </w:rPr>
        <w:t>,</w:t>
      </w:r>
      <w:r w:rsidR="007D62DF">
        <w:rPr>
          <w:lang w:val="sr-Cyrl-RS"/>
        </w:rPr>
        <w:t>22</w:t>
      </w:r>
      <w:r w:rsidRPr="00933BBE">
        <w:t>%</w:t>
      </w:r>
      <w:r>
        <w:rPr>
          <w:lang w:val="sr-Cyrl-RS"/>
        </w:rPr>
        <w:t xml:space="preserve">), а затим – </w:t>
      </w:r>
      <w:r w:rsidR="007D62DF">
        <w:rPr>
          <w:lang w:val="sr-Cyrl-RS"/>
        </w:rPr>
        <w:t>шумарство и обрада дрвета</w:t>
      </w:r>
      <w:r>
        <w:rPr>
          <w:lang w:val="sr-Cyrl-RS"/>
        </w:rPr>
        <w:t xml:space="preserve"> (</w:t>
      </w:r>
      <w:r w:rsidR="007D62DF">
        <w:rPr>
          <w:lang w:val="sr-Cyrl-RS"/>
        </w:rPr>
        <w:t>3</w:t>
      </w:r>
      <w:r>
        <w:rPr>
          <w:lang w:val="sr-Cyrl-RS"/>
        </w:rPr>
        <w:t>6,</w:t>
      </w:r>
      <w:r w:rsidR="007D62DF">
        <w:rPr>
          <w:lang w:val="sr-Cyrl-RS"/>
        </w:rPr>
        <w:t>67</w:t>
      </w:r>
      <w:r>
        <w:rPr>
          <w:lang w:val="sr-Cyrl-RS"/>
        </w:rPr>
        <w:t>%)</w:t>
      </w:r>
      <w:r w:rsidRPr="00933BBE">
        <w:t xml:space="preserve">. </w:t>
      </w:r>
    </w:p>
    <w:p w:rsidR="00A968D5" w:rsidRDefault="00A968D5" w:rsidP="00A968D5">
      <w:pPr>
        <w:pStyle w:val="BodyText"/>
        <w:rPr>
          <w:lang w:val="sr-Cyrl-RS"/>
        </w:rPr>
      </w:pPr>
    </w:p>
    <w:p w:rsidR="00A968D5" w:rsidRDefault="00A968D5" w:rsidP="00A968D5">
      <w:pPr>
        <w:pStyle w:val="BodyText"/>
        <w:rPr>
          <w:lang w:val="sr-Cyrl-RS"/>
        </w:rPr>
      </w:pPr>
    </w:p>
    <w:p w:rsidR="00C330E4" w:rsidRDefault="00C330E4" w:rsidP="00A968D5">
      <w:pPr>
        <w:pStyle w:val="BodyText"/>
        <w:rPr>
          <w:lang w:val="sr-Cyrl-RS"/>
        </w:rPr>
      </w:pPr>
    </w:p>
    <w:p w:rsidR="00C330E4" w:rsidRDefault="00C330E4" w:rsidP="00A968D5">
      <w:pPr>
        <w:pStyle w:val="BodyText"/>
        <w:rPr>
          <w:lang w:val="sr-Cyrl-RS"/>
        </w:rPr>
      </w:pPr>
    </w:p>
    <w:p w:rsidR="00C330E4" w:rsidRDefault="00C330E4" w:rsidP="00A968D5">
      <w:pPr>
        <w:pStyle w:val="BodyText"/>
        <w:rPr>
          <w:lang w:val="sr-Cyrl-RS"/>
        </w:rPr>
      </w:pPr>
    </w:p>
    <w:p w:rsidR="00A968D5" w:rsidRPr="006661B7" w:rsidRDefault="00A968D5" w:rsidP="00A968D5">
      <w:pPr>
        <w:jc w:val="center"/>
        <w:rPr>
          <w:b/>
          <w:bCs/>
          <w:lang w:val="sr-Cyrl-CS"/>
        </w:rPr>
      </w:pPr>
      <w:r w:rsidRPr="006661B7">
        <w:rPr>
          <w:lang w:val="sr-Cyrl-CS"/>
        </w:rPr>
        <w:lastRenderedPageBreak/>
        <w:t xml:space="preserve">3. </w:t>
      </w:r>
      <w:r w:rsidRPr="006661B7">
        <w:rPr>
          <w:b/>
          <w:bCs/>
          <w:lang w:val="sr-Cyrl-CS"/>
        </w:rPr>
        <w:t>УПИС УЧЕНИКА У ПРВИ РАЗРЕД СРЕДЊИХ ШКОЛА У</w:t>
      </w:r>
    </w:p>
    <w:p w:rsidR="00A968D5" w:rsidRPr="008D2E58" w:rsidRDefault="00A968D5" w:rsidP="00A968D5">
      <w:pPr>
        <w:pStyle w:val="Heading2"/>
      </w:pPr>
      <w:r w:rsidRPr="008D2E58">
        <w:t>ЧЕТВОРОГОДИШЊЕМ ТРАЈАЊУ</w:t>
      </w:r>
    </w:p>
    <w:p w:rsidR="00A968D5" w:rsidRPr="0017753C" w:rsidRDefault="00A968D5" w:rsidP="00A968D5">
      <w:pPr>
        <w:jc w:val="both"/>
        <w:rPr>
          <w:b/>
          <w:bCs/>
          <w:color w:val="FF0000"/>
          <w:lang w:val="sr-Cyrl-CS"/>
        </w:rPr>
      </w:pPr>
    </w:p>
    <w:p w:rsidR="00C330E4" w:rsidRPr="002365DA" w:rsidRDefault="00C330E4" w:rsidP="00A968D5">
      <w:pPr>
        <w:jc w:val="both"/>
        <w:rPr>
          <w:b/>
          <w:bCs/>
          <w:lang w:val="sr-Cyrl-CS"/>
        </w:rPr>
      </w:pPr>
    </w:p>
    <w:p w:rsidR="00A968D5" w:rsidRPr="00933BBE" w:rsidRDefault="00A968D5" w:rsidP="00A968D5">
      <w:pPr>
        <w:jc w:val="both"/>
        <w:rPr>
          <w:b/>
          <w:bCs/>
          <w:lang w:val="ru-RU"/>
        </w:rPr>
      </w:pPr>
    </w:p>
    <w:p w:rsidR="00A968D5" w:rsidRPr="00933BBE" w:rsidRDefault="00A968D5" w:rsidP="00A968D5">
      <w:pPr>
        <w:jc w:val="both"/>
        <w:rPr>
          <w:lang w:val="sr-Cyrl-CS"/>
        </w:rPr>
      </w:pPr>
      <w:r w:rsidRPr="00933BBE">
        <w:rPr>
          <w:lang w:val="sr-Cyrl-CS"/>
        </w:rPr>
        <w:tab/>
        <w:t xml:space="preserve">На територији АП Војводине у </w:t>
      </w:r>
      <w:r w:rsidR="008D2E58">
        <w:rPr>
          <w:b/>
          <w:bCs/>
          <w:lang w:val="sr-Cyrl-CS"/>
        </w:rPr>
        <w:t>121 средњој</w:t>
      </w:r>
      <w:r w:rsidRPr="00933BBE">
        <w:rPr>
          <w:b/>
          <w:bCs/>
          <w:lang w:val="sr-Cyrl-CS"/>
        </w:rPr>
        <w:t xml:space="preserve"> школ</w:t>
      </w:r>
      <w:r w:rsidR="008D2E58">
        <w:rPr>
          <w:b/>
          <w:bCs/>
          <w:lang w:val="sr-Cyrl-CS"/>
        </w:rPr>
        <w:t>и</w:t>
      </w:r>
      <w:r w:rsidRPr="00933BBE">
        <w:rPr>
          <w:lang w:val="sr-Cyrl-CS"/>
        </w:rPr>
        <w:t xml:space="preserve"> уписани су ученици у први разред за образовне профиле </w:t>
      </w:r>
      <w:r>
        <w:rPr>
          <w:lang w:val="sr-Cyrl-CS"/>
        </w:rPr>
        <w:t>са</w:t>
      </w:r>
      <w:r w:rsidRPr="00933BBE">
        <w:rPr>
          <w:lang w:val="sr-Cyrl-CS"/>
        </w:rPr>
        <w:t xml:space="preserve"> четворогодишњ</w:t>
      </w:r>
      <w:r>
        <w:rPr>
          <w:lang w:val="sr-Cyrl-CS"/>
        </w:rPr>
        <w:t>и</w:t>
      </w:r>
      <w:r w:rsidRPr="00933BBE">
        <w:rPr>
          <w:lang w:val="sr-Cyrl-CS"/>
        </w:rPr>
        <w:t>м трајањ</w:t>
      </w:r>
      <w:r>
        <w:rPr>
          <w:lang w:val="sr-Cyrl-CS"/>
        </w:rPr>
        <w:t>ем</w:t>
      </w:r>
      <w:r w:rsidRPr="00933BBE">
        <w:rPr>
          <w:lang w:val="sr-Cyrl-CS"/>
        </w:rPr>
        <w:t xml:space="preserve"> у гимназије, стручне школе, мешовите и уметничке школе. Планирани су образовни профили 1</w:t>
      </w:r>
      <w:r>
        <w:rPr>
          <w:lang w:val="sr-Cyrl-CS"/>
        </w:rPr>
        <w:t>3</w:t>
      </w:r>
      <w:r w:rsidRPr="00933BBE">
        <w:rPr>
          <w:lang w:val="sr-Cyrl-CS"/>
        </w:rPr>
        <w:t xml:space="preserve"> подручја рада.</w:t>
      </w:r>
    </w:p>
    <w:p w:rsidR="00A968D5" w:rsidRPr="00933BBE" w:rsidRDefault="00A968D5" w:rsidP="00A968D5">
      <w:pPr>
        <w:jc w:val="both"/>
        <w:rPr>
          <w:lang w:val="sr-Cyrl-CS"/>
        </w:rPr>
      </w:pPr>
    </w:p>
    <w:p w:rsidR="00A968D5" w:rsidRPr="00933BBE" w:rsidRDefault="00A968D5" w:rsidP="00A968D5">
      <w:pPr>
        <w:jc w:val="both"/>
        <w:rPr>
          <w:lang w:val="ru-RU"/>
        </w:rPr>
      </w:pPr>
      <w:r w:rsidRPr="00933BBE">
        <w:rPr>
          <w:lang w:val="sr-Cyrl-CS"/>
        </w:rPr>
        <w:tab/>
        <w:t xml:space="preserve">Ученицима је дата могућност да наставу похађају на </w:t>
      </w:r>
      <w:r w:rsidRPr="00933BBE">
        <w:rPr>
          <w:b/>
          <w:lang w:val="sr-Cyrl-CS"/>
        </w:rPr>
        <w:t>српском</w:t>
      </w:r>
      <w:r w:rsidRPr="00933BBE">
        <w:rPr>
          <w:lang w:val="sr-Cyrl-CS"/>
        </w:rPr>
        <w:t xml:space="preserve"> или на </w:t>
      </w:r>
      <w:r w:rsidRPr="00933BBE">
        <w:rPr>
          <w:b/>
          <w:lang w:val="sr-Cyrl-CS"/>
        </w:rPr>
        <w:t>мађарском</w:t>
      </w:r>
      <w:r w:rsidRPr="00933BBE">
        <w:rPr>
          <w:lang w:val="sr-Cyrl-CS"/>
        </w:rPr>
        <w:t xml:space="preserve">, </w:t>
      </w:r>
      <w:r w:rsidRPr="00933BBE">
        <w:rPr>
          <w:b/>
          <w:lang w:val="sr-Cyrl-CS"/>
        </w:rPr>
        <w:t>словачком</w:t>
      </w:r>
      <w:r w:rsidRPr="00933BBE">
        <w:rPr>
          <w:lang w:val="sr-Cyrl-CS"/>
        </w:rPr>
        <w:t xml:space="preserve">, </w:t>
      </w:r>
      <w:r w:rsidRPr="00933BBE">
        <w:rPr>
          <w:b/>
          <w:lang w:val="sr-Cyrl-CS"/>
        </w:rPr>
        <w:t>румунском</w:t>
      </w:r>
      <w:r w:rsidRPr="00933BBE">
        <w:rPr>
          <w:lang w:val="sr-Cyrl-CS"/>
        </w:rPr>
        <w:t xml:space="preserve">, </w:t>
      </w:r>
      <w:r w:rsidRPr="00933BBE">
        <w:rPr>
          <w:b/>
          <w:lang w:val="sr-Cyrl-CS"/>
        </w:rPr>
        <w:t>русинском</w:t>
      </w:r>
      <w:r w:rsidRPr="00933BBE">
        <w:rPr>
          <w:lang w:val="sr-Cyrl-CS"/>
        </w:rPr>
        <w:t xml:space="preserve"> и </w:t>
      </w:r>
      <w:r w:rsidRPr="00933BBE">
        <w:rPr>
          <w:b/>
          <w:lang w:val="sr-Cyrl-CS"/>
        </w:rPr>
        <w:t>хрватском</w:t>
      </w:r>
      <w:r w:rsidRPr="00933BBE">
        <w:rPr>
          <w:lang w:val="sr-Cyrl-CS"/>
        </w:rPr>
        <w:t xml:space="preserve"> </w:t>
      </w:r>
      <w:r w:rsidRPr="00AC753C">
        <w:rPr>
          <w:b/>
          <w:lang w:val="sr-Cyrl-CS"/>
        </w:rPr>
        <w:t>језику</w:t>
      </w:r>
      <w:r w:rsidRPr="00933BBE">
        <w:rPr>
          <w:lang w:val="sr-Cyrl-CS"/>
        </w:rPr>
        <w:t xml:space="preserve">. </w:t>
      </w:r>
    </w:p>
    <w:p w:rsidR="00A968D5" w:rsidRPr="00933BBE" w:rsidRDefault="00A968D5" w:rsidP="00A968D5">
      <w:pPr>
        <w:jc w:val="both"/>
        <w:rPr>
          <w:lang w:val="ru-RU"/>
        </w:rPr>
      </w:pPr>
    </w:p>
    <w:p w:rsidR="00A968D5" w:rsidRPr="00DA761F" w:rsidRDefault="00A968D5" w:rsidP="00A968D5">
      <w:pPr>
        <w:jc w:val="both"/>
        <w:rPr>
          <w:b/>
          <w:bCs/>
          <w:lang w:val="sr-Cyrl-CS"/>
        </w:rPr>
      </w:pPr>
      <w:r w:rsidRPr="00933BBE">
        <w:rPr>
          <w:lang w:val="sr-Cyrl-CS"/>
        </w:rPr>
        <w:tab/>
      </w:r>
      <w:r w:rsidRPr="00933BBE">
        <w:rPr>
          <w:b/>
          <w:bCs/>
          <w:lang w:val="sr-Cyrl-CS"/>
        </w:rPr>
        <w:t>Упис</w:t>
      </w:r>
      <w:r w:rsidRPr="00933BBE">
        <w:rPr>
          <w:lang w:val="sr-Cyrl-CS"/>
        </w:rPr>
        <w:t xml:space="preserve"> ученика у средње школе за </w:t>
      </w:r>
      <w:r w:rsidRPr="00933BBE">
        <w:rPr>
          <w:b/>
          <w:bCs/>
          <w:lang w:val="sr-Cyrl-CS"/>
        </w:rPr>
        <w:t>четворогодишње школовање</w:t>
      </w:r>
      <w:r w:rsidRPr="00933BBE">
        <w:rPr>
          <w:lang w:val="sr-Cyrl-CS"/>
        </w:rPr>
        <w:t xml:space="preserve"> </w:t>
      </w:r>
      <w:r w:rsidRPr="00933BBE">
        <w:rPr>
          <w:b/>
          <w:bCs/>
          <w:lang w:val="sr-Cyrl-CS"/>
        </w:rPr>
        <w:t>реализован</w:t>
      </w:r>
      <w:r w:rsidRPr="00933BBE">
        <w:rPr>
          <w:lang w:val="sr-Cyrl-CS"/>
        </w:rPr>
        <w:t xml:space="preserve"> је са </w:t>
      </w:r>
      <w:r>
        <w:rPr>
          <w:b/>
          <w:bCs/>
          <w:lang w:val="sr-Cyrl-CS"/>
        </w:rPr>
        <w:t>8</w:t>
      </w:r>
      <w:r w:rsidR="008D2E58">
        <w:rPr>
          <w:b/>
          <w:bCs/>
          <w:lang w:val="sr-Cyrl-CS"/>
        </w:rPr>
        <w:t>4</w:t>
      </w:r>
      <w:r w:rsidRPr="00933BBE">
        <w:rPr>
          <w:b/>
          <w:bCs/>
          <w:lang w:val="sr-Cyrl-CS"/>
        </w:rPr>
        <w:t>,</w:t>
      </w:r>
      <w:r w:rsidR="008D2E58">
        <w:rPr>
          <w:b/>
          <w:bCs/>
          <w:lang w:val="sr-Cyrl-CS"/>
        </w:rPr>
        <w:t>75</w:t>
      </w:r>
      <w:r w:rsidRPr="00933BBE">
        <w:rPr>
          <w:b/>
          <w:bCs/>
          <w:lang w:val="sr-Cyrl-CS"/>
        </w:rPr>
        <w:t>%</w:t>
      </w:r>
      <w:r w:rsidRPr="00933BBE">
        <w:rPr>
          <w:lang w:val="sr-Cyrl-CS"/>
        </w:rPr>
        <w:t xml:space="preserve">, јер је на планираних </w:t>
      </w:r>
      <w:r w:rsidRPr="00933BBE">
        <w:rPr>
          <w:b/>
          <w:lang w:val="sr-Cyrl-CS"/>
        </w:rPr>
        <w:t>1</w:t>
      </w:r>
      <w:r w:rsidR="008D2E58">
        <w:rPr>
          <w:b/>
          <w:lang w:val="sr-Cyrl-CS"/>
        </w:rPr>
        <w:t>6</w:t>
      </w:r>
      <w:r w:rsidRPr="00933BBE">
        <w:rPr>
          <w:b/>
          <w:lang w:val="sr-Cyrl-CS"/>
        </w:rPr>
        <w:t>.</w:t>
      </w:r>
      <w:r w:rsidR="008D2E58">
        <w:rPr>
          <w:b/>
          <w:lang w:val="sr-Cyrl-CS"/>
        </w:rPr>
        <w:t>669</w:t>
      </w:r>
      <w:r w:rsidRPr="00933BBE">
        <w:rPr>
          <w:b/>
          <w:lang w:val="sr-Cyrl-CS"/>
        </w:rPr>
        <w:t xml:space="preserve"> места</w:t>
      </w:r>
      <w:r w:rsidRPr="00933BBE">
        <w:rPr>
          <w:lang w:val="sr-Cyrl-CS"/>
        </w:rPr>
        <w:t xml:space="preserve"> </w:t>
      </w:r>
      <w:r w:rsidRPr="00FD79A3">
        <w:rPr>
          <w:lang w:val="sr-Cyrl-CS"/>
        </w:rPr>
        <w:t>уписан</w:t>
      </w:r>
      <w:r>
        <w:rPr>
          <w:lang w:val="sr-Cyrl-CS"/>
        </w:rPr>
        <w:t>о</w:t>
      </w:r>
      <w:r w:rsidRPr="00FD79A3">
        <w:rPr>
          <w:lang w:val="sr-Cyrl-CS"/>
        </w:rPr>
        <w:t xml:space="preserve"> </w:t>
      </w:r>
      <w:r w:rsidRPr="00FD79A3">
        <w:rPr>
          <w:b/>
          <w:bCs/>
          <w:lang w:val="sr-Cyrl-CS"/>
        </w:rPr>
        <w:t>1</w:t>
      </w:r>
      <w:r>
        <w:rPr>
          <w:b/>
          <w:bCs/>
          <w:lang w:val="sr-Cyrl-CS"/>
        </w:rPr>
        <w:t>4</w:t>
      </w:r>
      <w:r w:rsidRPr="00FD79A3">
        <w:rPr>
          <w:b/>
          <w:bCs/>
          <w:lang w:val="sr-Cyrl-CS"/>
        </w:rPr>
        <w:t>.</w:t>
      </w:r>
      <w:r w:rsidR="008D2E58">
        <w:rPr>
          <w:b/>
          <w:bCs/>
          <w:lang w:val="sr-Cyrl-CS"/>
        </w:rPr>
        <w:t>127</w:t>
      </w:r>
      <w:r w:rsidRPr="00FD79A3">
        <w:rPr>
          <w:b/>
          <w:bCs/>
          <w:lang w:val="sr-Cyrl-CS"/>
        </w:rPr>
        <w:t xml:space="preserve"> ученик</w:t>
      </w:r>
      <w:r>
        <w:rPr>
          <w:b/>
          <w:bCs/>
          <w:lang w:val="sr-Cyrl-CS"/>
        </w:rPr>
        <w:t>а</w:t>
      </w:r>
      <w:r w:rsidRPr="00FD79A3">
        <w:rPr>
          <w:lang w:val="sr-Cyrl-CS"/>
        </w:rPr>
        <w:t xml:space="preserve">, који </w:t>
      </w:r>
      <w:r>
        <w:rPr>
          <w:lang w:val="sr-Cyrl-CS"/>
        </w:rPr>
        <w:t>су</w:t>
      </w:r>
      <w:r w:rsidRPr="00933BBE">
        <w:rPr>
          <w:lang w:val="sr-Cyrl-CS"/>
        </w:rPr>
        <w:t xml:space="preserve"> распоређен</w:t>
      </w:r>
      <w:r>
        <w:rPr>
          <w:lang w:val="sr-Cyrl-CS"/>
        </w:rPr>
        <w:t>и</w:t>
      </w:r>
      <w:r w:rsidRPr="00933BBE">
        <w:rPr>
          <w:lang w:val="sr-Cyrl-CS"/>
        </w:rPr>
        <w:t xml:space="preserve"> у </w:t>
      </w:r>
      <w:r w:rsidR="008D2E58">
        <w:rPr>
          <w:b/>
          <w:lang w:val="sr-Cyrl-CS"/>
        </w:rPr>
        <w:t>573</w:t>
      </w:r>
      <w:r>
        <w:rPr>
          <w:b/>
          <w:lang w:val="sr-Cyrl-CS"/>
        </w:rPr>
        <w:t xml:space="preserve"> </w:t>
      </w:r>
      <w:r w:rsidRPr="00933BBE">
        <w:rPr>
          <w:b/>
          <w:bCs/>
          <w:lang w:val="sr-Cyrl-CS"/>
        </w:rPr>
        <w:t>одељења</w:t>
      </w:r>
      <w:r w:rsidRPr="00933BBE">
        <w:rPr>
          <w:lang w:val="sr-Cyrl-CS"/>
        </w:rPr>
        <w:t xml:space="preserve">. Просечан број ученика у одељењу је </w:t>
      </w:r>
      <w:r w:rsidRPr="00933BBE">
        <w:rPr>
          <w:b/>
          <w:bCs/>
          <w:lang w:val="sr-Cyrl-CS"/>
        </w:rPr>
        <w:t>2</w:t>
      </w:r>
      <w:r>
        <w:rPr>
          <w:b/>
          <w:bCs/>
          <w:lang w:val="sr-Cyrl-CS"/>
        </w:rPr>
        <w:t>5</w:t>
      </w:r>
      <w:r w:rsidRPr="00933BBE">
        <w:rPr>
          <w:lang w:val="sr-Cyrl-CS"/>
        </w:rPr>
        <w:t>.</w:t>
      </w:r>
    </w:p>
    <w:p w:rsidR="00A968D5" w:rsidRPr="00933BBE" w:rsidRDefault="00A968D5" w:rsidP="00A968D5">
      <w:pPr>
        <w:jc w:val="both"/>
        <w:rPr>
          <w:lang w:val="ru-RU"/>
        </w:rPr>
      </w:pPr>
    </w:p>
    <w:p w:rsidR="00A968D5" w:rsidRPr="002D7879" w:rsidRDefault="00A968D5" w:rsidP="00A968D5">
      <w:pPr>
        <w:pStyle w:val="BodyText"/>
      </w:pPr>
      <w:r w:rsidRPr="002D7879">
        <w:tab/>
        <w:t xml:space="preserve">У односу на претходну школску годину за упис </w:t>
      </w:r>
      <w:r>
        <w:rPr>
          <w:lang w:val="sr-Cyrl-RS"/>
        </w:rPr>
        <w:t>су</w:t>
      </w:r>
      <w:r w:rsidRPr="002D7879">
        <w:t xml:space="preserve"> планиран</w:t>
      </w:r>
      <w:r>
        <w:rPr>
          <w:lang w:val="sr-Cyrl-RS"/>
        </w:rPr>
        <w:t>а</w:t>
      </w:r>
      <w:r w:rsidRPr="002D7879">
        <w:t xml:space="preserve"> </w:t>
      </w:r>
      <w:r w:rsidR="008D2E58">
        <w:rPr>
          <w:b/>
          <w:lang w:val="sr-Cyrl-RS"/>
        </w:rPr>
        <w:t>655</w:t>
      </w:r>
      <w:r w:rsidRPr="002D7879">
        <w:rPr>
          <w:b/>
        </w:rPr>
        <w:t xml:space="preserve"> места </w:t>
      </w:r>
      <w:r>
        <w:rPr>
          <w:b/>
          <w:lang w:val="sr-Cyrl-RS"/>
        </w:rPr>
        <w:t>мање</w:t>
      </w:r>
      <w:r w:rsidRPr="002D7879">
        <w:t xml:space="preserve">, </w:t>
      </w:r>
      <w:r>
        <w:rPr>
          <w:lang w:val="sr-Cyrl-RS"/>
        </w:rPr>
        <w:t xml:space="preserve">а </w:t>
      </w:r>
      <w:r w:rsidRPr="002D7879">
        <w:rPr>
          <w:b/>
        </w:rPr>
        <w:t>број</w:t>
      </w:r>
      <w:r w:rsidRPr="002D7879">
        <w:t xml:space="preserve"> </w:t>
      </w:r>
      <w:r w:rsidRPr="002D7879">
        <w:rPr>
          <w:b/>
        </w:rPr>
        <w:t>уписаних ученика</w:t>
      </w:r>
      <w:r w:rsidRPr="002D7879">
        <w:t xml:space="preserve"> </w:t>
      </w:r>
      <w:r>
        <w:rPr>
          <w:b/>
          <w:lang w:val="sr-Cyrl-RS"/>
        </w:rPr>
        <w:t>мањи</w:t>
      </w:r>
      <w:r w:rsidRPr="002D7879">
        <w:t xml:space="preserve"> је</w:t>
      </w:r>
      <w:r w:rsidRPr="002D7879">
        <w:rPr>
          <w:b/>
        </w:rPr>
        <w:t xml:space="preserve"> за</w:t>
      </w:r>
      <w:r w:rsidRPr="002D7879">
        <w:t xml:space="preserve"> </w:t>
      </w:r>
      <w:r>
        <w:rPr>
          <w:b/>
          <w:lang w:val="sr-Cyrl-RS"/>
        </w:rPr>
        <w:t>7</w:t>
      </w:r>
      <w:r w:rsidR="008D2E58">
        <w:rPr>
          <w:b/>
          <w:lang w:val="sr-Cyrl-RS"/>
        </w:rPr>
        <w:t>99</w:t>
      </w:r>
      <w:r>
        <w:rPr>
          <w:b/>
          <w:lang w:val="sr-Cyrl-RS"/>
        </w:rPr>
        <w:t>. П</w:t>
      </w:r>
      <w:r w:rsidRPr="002D7879">
        <w:rPr>
          <w:b/>
        </w:rPr>
        <w:t xml:space="preserve">роценат реализације </w:t>
      </w:r>
      <w:r w:rsidRPr="002D7879">
        <w:t>плана уписа ученика</w:t>
      </w:r>
      <w:r>
        <w:rPr>
          <w:lang w:val="sr-Cyrl-RS"/>
        </w:rPr>
        <w:t xml:space="preserve"> је</w:t>
      </w:r>
      <w:r w:rsidRPr="002D7879">
        <w:t xml:space="preserve"> </w:t>
      </w:r>
      <w:r w:rsidRPr="002D7879">
        <w:rPr>
          <w:b/>
          <w:lang w:val="sr-Cyrl-RS"/>
        </w:rPr>
        <w:t>мањи</w:t>
      </w:r>
      <w:r w:rsidRPr="002D7879">
        <w:rPr>
          <w:b/>
        </w:rPr>
        <w:t xml:space="preserve"> за </w:t>
      </w:r>
      <w:r w:rsidR="008D2E58">
        <w:rPr>
          <w:b/>
          <w:lang w:val="sr-Cyrl-RS"/>
        </w:rPr>
        <w:t>1</w:t>
      </w:r>
      <w:r w:rsidRPr="002D7879">
        <w:rPr>
          <w:b/>
        </w:rPr>
        <w:t>,</w:t>
      </w:r>
      <w:r w:rsidR="008D2E58">
        <w:rPr>
          <w:b/>
          <w:lang w:val="sr-Cyrl-RS"/>
        </w:rPr>
        <w:t>41</w:t>
      </w:r>
      <w:r w:rsidRPr="002D7879">
        <w:rPr>
          <w:b/>
        </w:rPr>
        <w:t>%</w:t>
      </w:r>
      <w:r w:rsidRPr="002D7879">
        <w:t xml:space="preserve">. </w:t>
      </w:r>
    </w:p>
    <w:p w:rsidR="00A968D5" w:rsidRPr="00933BBE" w:rsidRDefault="00A968D5" w:rsidP="00A968D5">
      <w:pPr>
        <w:jc w:val="both"/>
        <w:rPr>
          <w:lang w:val="ru-RU"/>
        </w:rPr>
      </w:pPr>
    </w:p>
    <w:p w:rsidR="00A968D5" w:rsidRPr="00933BBE" w:rsidRDefault="00A968D5" w:rsidP="00A968D5">
      <w:pPr>
        <w:jc w:val="both"/>
        <w:rPr>
          <w:lang w:val="sr-Cyrl-CS"/>
        </w:rPr>
      </w:pPr>
      <w:r w:rsidRPr="00933BBE">
        <w:rPr>
          <w:lang w:val="ru-RU"/>
        </w:rPr>
        <w:tab/>
      </w:r>
      <w:r w:rsidRPr="00933BBE">
        <w:rPr>
          <w:lang w:val="sr-Cyrl-CS"/>
        </w:rPr>
        <w:t>Н</w:t>
      </w:r>
      <w:r w:rsidRPr="00933BBE">
        <w:rPr>
          <w:lang w:val="ru-RU"/>
        </w:rPr>
        <w:t>ајвише места за упис предвиђено је</w:t>
      </w:r>
      <w:r>
        <w:rPr>
          <w:lang w:val="ru-RU"/>
        </w:rPr>
        <w:t>, као и претходних година,</w:t>
      </w:r>
      <w:r w:rsidRPr="00933BBE">
        <w:rPr>
          <w:lang w:val="ru-RU"/>
        </w:rPr>
        <w:t xml:space="preserve"> за гимназијско образовање </w:t>
      </w:r>
      <w:r w:rsidRPr="00933BBE">
        <w:rPr>
          <w:lang w:val="sr-Cyrl-CS"/>
        </w:rPr>
        <w:t>– 4.</w:t>
      </w:r>
      <w:r>
        <w:rPr>
          <w:lang w:val="sr-Cyrl-CS"/>
        </w:rPr>
        <w:t>20</w:t>
      </w:r>
      <w:r w:rsidR="008D2E58">
        <w:rPr>
          <w:lang w:val="sr-Cyrl-CS"/>
        </w:rPr>
        <w:t>7</w:t>
      </w:r>
      <w:r w:rsidRPr="00933BBE">
        <w:rPr>
          <w:lang w:val="ru-RU"/>
        </w:rPr>
        <w:t xml:space="preserve"> места. У стручним </w:t>
      </w:r>
      <w:r w:rsidRPr="00933BBE">
        <w:rPr>
          <w:lang w:val="sr-Cyrl-CS"/>
        </w:rPr>
        <w:t>и мешовитим школама</w:t>
      </w:r>
      <w:r w:rsidRPr="00933BBE">
        <w:rPr>
          <w:lang w:val="ru-RU"/>
        </w:rPr>
        <w:t xml:space="preserve"> највећи је број места планиран за подручје рада: </w:t>
      </w:r>
      <w:r w:rsidRPr="00933BBE">
        <w:rPr>
          <w:lang w:val="sr-Cyrl-CS"/>
        </w:rPr>
        <w:t>е</w:t>
      </w:r>
      <w:r w:rsidRPr="00933BBE">
        <w:rPr>
          <w:lang w:val="ru-RU"/>
        </w:rPr>
        <w:t>кономија, право и администрација (2.</w:t>
      </w:r>
      <w:r w:rsidR="008D2E58">
        <w:rPr>
          <w:lang w:val="ru-RU"/>
        </w:rPr>
        <w:t>412</w:t>
      </w:r>
      <w:r>
        <w:rPr>
          <w:lang w:val="ru-RU"/>
        </w:rPr>
        <w:t xml:space="preserve"> </w:t>
      </w:r>
      <w:r w:rsidRPr="00933BBE">
        <w:rPr>
          <w:lang w:val="sr-Cyrl-CS"/>
        </w:rPr>
        <w:t>места</w:t>
      </w:r>
      <w:r w:rsidRPr="00933BBE">
        <w:rPr>
          <w:lang w:val="ru-RU"/>
        </w:rPr>
        <w:t>), електротехника (1.</w:t>
      </w:r>
      <w:r w:rsidR="008D2E58">
        <w:rPr>
          <w:lang w:val="ru-RU"/>
        </w:rPr>
        <w:t>790</w:t>
      </w:r>
      <w:r w:rsidRPr="00933BBE">
        <w:rPr>
          <w:lang w:val="ru-RU"/>
        </w:rPr>
        <w:t xml:space="preserve"> места), </w:t>
      </w:r>
      <w:r w:rsidRPr="00933BBE">
        <w:rPr>
          <w:lang w:val="sr-Cyrl-CS"/>
        </w:rPr>
        <w:t>п</w:t>
      </w:r>
      <w:r w:rsidRPr="00933BBE">
        <w:rPr>
          <w:lang w:val="ru-RU"/>
        </w:rPr>
        <w:t>ољопривреда, производња и прерада хране (1.</w:t>
      </w:r>
      <w:r w:rsidR="008D2E58">
        <w:rPr>
          <w:lang w:val="ru-RU"/>
        </w:rPr>
        <w:t>450</w:t>
      </w:r>
      <w:r w:rsidRPr="00933BBE">
        <w:rPr>
          <w:lang w:val="ru-RU"/>
        </w:rPr>
        <w:t xml:space="preserve"> </w:t>
      </w:r>
      <w:r w:rsidRPr="00933BBE">
        <w:rPr>
          <w:lang w:val="sr-Cyrl-CS"/>
        </w:rPr>
        <w:t>места</w:t>
      </w:r>
      <w:r w:rsidRPr="00933BBE">
        <w:rPr>
          <w:lang w:val="ru-RU"/>
        </w:rPr>
        <w:t xml:space="preserve">), </w:t>
      </w:r>
      <w:r w:rsidRPr="00933BBE">
        <w:rPr>
          <w:lang w:val="sr-Cyrl-CS"/>
        </w:rPr>
        <w:t>м</w:t>
      </w:r>
      <w:r w:rsidRPr="00933BBE">
        <w:rPr>
          <w:lang w:val="ru-RU"/>
        </w:rPr>
        <w:t>ашинство и обрада метала (1.</w:t>
      </w:r>
      <w:r w:rsidR="008D2E58">
        <w:rPr>
          <w:lang w:val="ru-RU"/>
        </w:rPr>
        <w:t>320</w:t>
      </w:r>
      <w:r w:rsidRPr="00933BBE">
        <w:rPr>
          <w:lang w:val="ru-RU"/>
        </w:rPr>
        <w:t xml:space="preserve"> места)</w:t>
      </w:r>
      <w:r>
        <w:rPr>
          <w:lang w:val="ru-RU"/>
        </w:rPr>
        <w:t xml:space="preserve"> и </w:t>
      </w:r>
      <w:r w:rsidRPr="00933BBE">
        <w:rPr>
          <w:lang w:val="ru-RU"/>
        </w:rPr>
        <w:t>здравство и социјална заштита (1.3</w:t>
      </w:r>
      <w:r w:rsidR="008D2E58">
        <w:rPr>
          <w:lang w:val="ru-RU"/>
        </w:rPr>
        <w:t>2</w:t>
      </w:r>
      <w:r>
        <w:rPr>
          <w:lang w:val="ru-RU"/>
        </w:rPr>
        <w:t>0 места)</w:t>
      </w:r>
      <w:r w:rsidRPr="00933BBE">
        <w:rPr>
          <w:lang w:val="sr-Cyrl-CS"/>
        </w:rPr>
        <w:t>.</w:t>
      </w:r>
    </w:p>
    <w:p w:rsidR="00A968D5" w:rsidRPr="00933BBE" w:rsidRDefault="00A968D5" w:rsidP="00A968D5">
      <w:pPr>
        <w:jc w:val="both"/>
        <w:rPr>
          <w:lang w:val="ru-RU"/>
        </w:rPr>
      </w:pPr>
    </w:p>
    <w:p w:rsidR="00A968D5" w:rsidRDefault="00A968D5" w:rsidP="00A968D5">
      <w:pPr>
        <w:pStyle w:val="BodyText2"/>
        <w:rPr>
          <w:color w:val="auto"/>
          <w:lang w:val="sr-Cyrl-RS"/>
        </w:rPr>
      </w:pPr>
      <w:r w:rsidRPr="00933BBE">
        <w:rPr>
          <w:color w:val="auto"/>
        </w:rPr>
        <w:tab/>
        <w:t xml:space="preserve">У оквиру четворогодишњег образовања, у </w:t>
      </w:r>
      <w:r w:rsidR="008D2E58">
        <w:rPr>
          <w:color w:val="auto"/>
          <w:lang w:val="sr-Cyrl-RS"/>
        </w:rPr>
        <w:t>четири</w:t>
      </w:r>
      <w:r w:rsidRPr="00933BBE">
        <w:rPr>
          <w:color w:val="auto"/>
        </w:rPr>
        <w:t xml:space="preserve"> школ</w:t>
      </w:r>
      <w:r w:rsidR="008D2E58">
        <w:rPr>
          <w:color w:val="auto"/>
          <w:lang w:val="sr-Cyrl-RS"/>
        </w:rPr>
        <w:t>е</w:t>
      </w:r>
      <w:r w:rsidRPr="00933BBE">
        <w:rPr>
          <w:color w:val="auto"/>
        </w:rPr>
        <w:t xml:space="preserve"> одобрен је упис ученика за </w:t>
      </w:r>
      <w:r w:rsidRPr="00561330">
        <w:rPr>
          <w:color w:val="auto"/>
        </w:rPr>
        <w:t>образовн</w:t>
      </w:r>
      <w:r>
        <w:rPr>
          <w:color w:val="auto"/>
          <w:lang w:val="sr-Cyrl-RS"/>
        </w:rPr>
        <w:t>е</w:t>
      </w:r>
      <w:r w:rsidRPr="00561330">
        <w:rPr>
          <w:color w:val="auto"/>
        </w:rPr>
        <w:t xml:space="preserve"> профил</w:t>
      </w:r>
      <w:r>
        <w:rPr>
          <w:color w:val="auto"/>
          <w:lang w:val="sr-Cyrl-RS"/>
        </w:rPr>
        <w:t>е</w:t>
      </w:r>
      <w:r w:rsidRPr="00561330">
        <w:rPr>
          <w:color w:val="auto"/>
        </w:rPr>
        <w:t xml:space="preserve"> који до сада нис</w:t>
      </w:r>
      <w:r w:rsidR="008D2E58">
        <w:rPr>
          <w:color w:val="auto"/>
        </w:rPr>
        <w:t>у били заступљени у тим школама</w:t>
      </w:r>
      <w:r w:rsidR="008D2E58">
        <w:rPr>
          <w:color w:val="auto"/>
          <w:lang w:val="sr-Cyrl-RS"/>
        </w:rPr>
        <w:t xml:space="preserve">: у </w:t>
      </w:r>
      <w:r w:rsidR="00DC18F3">
        <w:rPr>
          <w:color w:val="auto"/>
          <w:lang w:val="sr-Cyrl-RS"/>
        </w:rPr>
        <w:t>Митровачкој гимназији и Гимназији ''Јован Јовановић Змај'' у Новом Саду</w:t>
      </w:r>
      <w:r w:rsidR="008D2E58">
        <w:rPr>
          <w:color w:val="auto"/>
          <w:lang w:val="sr-Cyrl-RS"/>
        </w:rPr>
        <w:t xml:space="preserve"> по одељење </w:t>
      </w:r>
      <w:r w:rsidR="008D2E58" w:rsidRPr="00DC18F3">
        <w:rPr>
          <w:i/>
          <w:color w:val="auto"/>
          <w:lang w:val="sr-Cyrl-RS"/>
        </w:rPr>
        <w:t xml:space="preserve">обдарених </w:t>
      </w:r>
      <w:r w:rsidR="00DC18F3" w:rsidRPr="00DC18F3">
        <w:rPr>
          <w:i/>
          <w:color w:val="auto"/>
          <w:lang w:val="sr-Cyrl-RS"/>
        </w:rPr>
        <w:t>ученика у рачунарској гимназији</w:t>
      </w:r>
      <w:r w:rsidR="00DC18F3">
        <w:rPr>
          <w:color w:val="auto"/>
          <w:lang w:val="sr-Cyrl-RS"/>
        </w:rPr>
        <w:t>;</w:t>
      </w:r>
      <w:r w:rsidR="008D2E58">
        <w:rPr>
          <w:color w:val="auto"/>
          <w:lang w:val="sr-Cyrl-RS"/>
        </w:rPr>
        <w:t xml:space="preserve"> </w:t>
      </w:r>
      <w:r w:rsidR="00DC18F3">
        <w:rPr>
          <w:color w:val="auto"/>
          <w:lang w:val="sr-Cyrl-RS"/>
        </w:rPr>
        <w:t xml:space="preserve">по први пут образовни профил у четворогодишњем трајању у </w:t>
      </w:r>
      <w:r w:rsidR="008D2E58">
        <w:rPr>
          <w:color w:val="auto"/>
          <w:lang w:val="sr-Cyrl-RS"/>
        </w:rPr>
        <w:t xml:space="preserve">Средњој </w:t>
      </w:r>
      <w:r w:rsidR="00DC18F3">
        <w:rPr>
          <w:color w:val="auto"/>
          <w:lang w:val="sr-Cyrl-RS"/>
        </w:rPr>
        <w:t xml:space="preserve">школи ''Доситеј Обрадовић'' у Новом Кнежевцу – </w:t>
      </w:r>
      <w:r w:rsidR="00DC18F3" w:rsidRPr="00DC18F3">
        <w:rPr>
          <w:i/>
          <w:color w:val="auto"/>
          <w:lang w:val="sr-Cyrl-RS"/>
        </w:rPr>
        <w:t>техничар друмског саобраћаја</w:t>
      </w:r>
      <w:r w:rsidR="00DC18F3">
        <w:rPr>
          <w:color w:val="auto"/>
          <w:lang w:val="sr-Cyrl-RS"/>
        </w:rPr>
        <w:t xml:space="preserve">; у Медицинској школи ''Стевица Јовановић'' у Панчеву </w:t>
      </w:r>
      <w:r w:rsidR="00DC18F3" w:rsidRPr="00DC18F3">
        <w:rPr>
          <w:i/>
          <w:color w:val="auto"/>
          <w:lang w:val="sr-Cyrl-RS"/>
        </w:rPr>
        <w:t>медицинска сестра-васпитач</w:t>
      </w:r>
      <w:r w:rsidR="00DC18F3">
        <w:rPr>
          <w:color w:val="auto"/>
          <w:lang w:val="sr-Cyrl-RS"/>
        </w:rPr>
        <w:t xml:space="preserve">. </w:t>
      </w:r>
    </w:p>
    <w:p w:rsidR="00A968D5" w:rsidRPr="00EC615C" w:rsidRDefault="00A968D5" w:rsidP="00A968D5">
      <w:pPr>
        <w:pStyle w:val="BodyText2"/>
        <w:rPr>
          <w:color w:val="auto"/>
          <w:lang w:val="sr-Cyrl-RS"/>
        </w:rPr>
      </w:pPr>
    </w:p>
    <w:p w:rsidR="00A968D5" w:rsidRDefault="00A968D5" w:rsidP="00A968D5">
      <w:pPr>
        <w:pStyle w:val="BodyText2"/>
        <w:rPr>
          <w:color w:val="auto"/>
          <w:lang w:val="sr-Cyrl-RS"/>
        </w:rPr>
      </w:pPr>
      <w:r w:rsidRPr="00EC615C">
        <w:rPr>
          <w:color w:val="auto"/>
          <w:lang w:val="sr-Cyrl-RS"/>
        </w:rPr>
        <w:tab/>
        <w:t>У 2</w:t>
      </w:r>
      <w:r w:rsidR="007D5282">
        <w:rPr>
          <w:color w:val="auto"/>
          <w:lang w:val="sr-Cyrl-RS"/>
        </w:rPr>
        <w:t>8</w:t>
      </w:r>
      <w:r w:rsidRPr="00EC615C">
        <w:rPr>
          <w:color w:val="auto"/>
          <w:lang w:val="sr-Cyrl-RS"/>
        </w:rPr>
        <w:t xml:space="preserve"> средњ</w:t>
      </w:r>
      <w:r w:rsidR="007D5282">
        <w:rPr>
          <w:color w:val="auto"/>
          <w:lang w:val="sr-Cyrl-RS"/>
        </w:rPr>
        <w:t>их</w:t>
      </w:r>
      <w:r w:rsidRPr="00EC615C">
        <w:rPr>
          <w:color w:val="auto"/>
          <w:lang w:val="sr-Cyrl-RS"/>
        </w:rPr>
        <w:t xml:space="preserve"> школ</w:t>
      </w:r>
      <w:r w:rsidR="007D5282">
        <w:rPr>
          <w:color w:val="auto"/>
          <w:lang w:val="sr-Cyrl-RS"/>
        </w:rPr>
        <w:t>а планиран је упис 47</w:t>
      </w:r>
      <w:r w:rsidRPr="00EC615C">
        <w:rPr>
          <w:color w:val="auto"/>
          <w:lang w:val="sr-Cyrl-RS"/>
        </w:rPr>
        <w:t xml:space="preserve"> огледних одељења са 1</w:t>
      </w:r>
      <w:r w:rsidRPr="00EC615C">
        <w:rPr>
          <w:color w:val="auto"/>
        </w:rPr>
        <w:t>.</w:t>
      </w:r>
      <w:r w:rsidR="007D5282">
        <w:rPr>
          <w:color w:val="auto"/>
          <w:lang w:val="sr-Cyrl-RS"/>
        </w:rPr>
        <w:t>128</w:t>
      </w:r>
      <w:r w:rsidRPr="00EC615C">
        <w:rPr>
          <w:color w:val="auto"/>
          <w:lang w:val="sr-Cyrl-RS"/>
        </w:rPr>
        <w:t xml:space="preserve"> места</w:t>
      </w:r>
      <w:r w:rsidR="0059619E">
        <w:rPr>
          <w:color w:val="auto"/>
          <w:lang w:val="sr-Cyrl-RS"/>
        </w:rPr>
        <w:t>, за 12</w:t>
      </w:r>
      <w:r w:rsidRPr="00EC615C">
        <w:rPr>
          <w:color w:val="auto"/>
          <w:lang w:val="sr-Cyrl-RS"/>
        </w:rPr>
        <w:t xml:space="preserve"> образовна профила: администратор рачунарских мрежа</w:t>
      </w:r>
      <w:r w:rsidRPr="00EC615C">
        <w:rPr>
          <w:color w:val="auto"/>
        </w:rPr>
        <w:t xml:space="preserve"> – </w:t>
      </w:r>
      <w:r w:rsidRPr="00EC615C">
        <w:rPr>
          <w:color w:val="auto"/>
          <w:lang w:val="sr-Cyrl-RS"/>
        </w:rPr>
        <w:t>оглед, комерцијалиста</w:t>
      </w:r>
      <w:r w:rsidRPr="00EC615C">
        <w:rPr>
          <w:color w:val="auto"/>
        </w:rPr>
        <w:t xml:space="preserve"> – </w:t>
      </w:r>
      <w:r w:rsidRPr="00EC615C">
        <w:rPr>
          <w:color w:val="auto"/>
          <w:lang w:val="sr-Cyrl-RS"/>
        </w:rPr>
        <w:t>оглед, банкарски службеник</w:t>
      </w:r>
      <w:r w:rsidRPr="00EC615C">
        <w:rPr>
          <w:color w:val="auto"/>
        </w:rPr>
        <w:t xml:space="preserve"> – </w:t>
      </w:r>
      <w:r w:rsidRPr="00EC615C">
        <w:rPr>
          <w:color w:val="auto"/>
          <w:lang w:val="sr-Cyrl-RS"/>
        </w:rPr>
        <w:t>оглед, службеник осигурања</w:t>
      </w:r>
      <w:r w:rsidRPr="00EC615C">
        <w:rPr>
          <w:color w:val="auto"/>
        </w:rPr>
        <w:t xml:space="preserve"> – </w:t>
      </w:r>
      <w:r w:rsidRPr="00EC615C">
        <w:rPr>
          <w:color w:val="auto"/>
          <w:lang w:val="sr-Cyrl-RS"/>
        </w:rPr>
        <w:t>оглед, архитектонски техничар</w:t>
      </w:r>
      <w:r w:rsidRPr="00EC615C">
        <w:rPr>
          <w:color w:val="auto"/>
        </w:rPr>
        <w:t xml:space="preserve"> – </w:t>
      </w:r>
      <w:r w:rsidRPr="00EC615C">
        <w:rPr>
          <w:color w:val="auto"/>
          <w:lang w:val="sr-Cyrl-RS"/>
        </w:rPr>
        <w:t>оглед, техничар за одржавање објеката</w:t>
      </w:r>
      <w:r w:rsidRPr="00EC615C">
        <w:rPr>
          <w:color w:val="auto"/>
        </w:rPr>
        <w:t xml:space="preserve"> – </w:t>
      </w:r>
      <w:r w:rsidRPr="00EC615C">
        <w:rPr>
          <w:color w:val="auto"/>
          <w:lang w:val="sr-Cyrl-RS"/>
        </w:rPr>
        <w:t>оглед, електротехничар информационих технологија</w:t>
      </w:r>
      <w:r w:rsidRPr="00EC615C">
        <w:rPr>
          <w:color w:val="auto"/>
        </w:rPr>
        <w:t xml:space="preserve"> – </w:t>
      </w:r>
      <w:r w:rsidRPr="00EC615C">
        <w:rPr>
          <w:color w:val="auto"/>
          <w:lang w:val="sr-Cyrl-RS"/>
        </w:rPr>
        <w:t>оглед, техничар за обликовање намештаја и ентеријера</w:t>
      </w:r>
      <w:r w:rsidRPr="00EC615C">
        <w:rPr>
          <w:color w:val="auto"/>
        </w:rPr>
        <w:t xml:space="preserve"> – </w:t>
      </w:r>
      <w:r w:rsidRPr="00EC615C">
        <w:rPr>
          <w:color w:val="auto"/>
          <w:lang w:val="sr-Cyrl-RS"/>
        </w:rPr>
        <w:t>оглед, техничар за ловство и риболовство, винар-виноградар</w:t>
      </w:r>
      <w:r w:rsidRPr="00EC615C">
        <w:rPr>
          <w:color w:val="auto"/>
        </w:rPr>
        <w:t xml:space="preserve"> – </w:t>
      </w:r>
      <w:r w:rsidRPr="00EC615C">
        <w:rPr>
          <w:color w:val="auto"/>
          <w:lang w:val="sr-Cyrl-RS"/>
        </w:rPr>
        <w:t>оглед, техничар за безбедност саобраћаја</w:t>
      </w:r>
      <w:r w:rsidRPr="00EC615C">
        <w:rPr>
          <w:color w:val="auto"/>
        </w:rPr>
        <w:t xml:space="preserve"> – </w:t>
      </w:r>
      <w:r w:rsidRPr="00EC615C">
        <w:rPr>
          <w:color w:val="auto"/>
          <w:lang w:val="sr-Cyrl-RS"/>
        </w:rPr>
        <w:t>оглед и моделар одеће</w:t>
      </w:r>
      <w:r w:rsidRPr="00EC615C">
        <w:rPr>
          <w:color w:val="auto"/>
        </w:rPr>
        <w:t xml:space="preserve"> – </w:t>
      </w:r>
      <w:r w:rsidRPr="00EC615C">
        <w:rPr>
          <w:color w:val="auto"/>
          <w:lang w:val="sr-Cyrl-RS"/>
        </w:rPr>
        <w:t>оглед.</w:t>
      </w:r>
    </w:p>
    <w:p w:rsidR="0059619E" w:rsidRPr="00EC615C" w:rsidRDefault="0059619E" w:rsidP="00A968D5">
      <w:pPr>
        <w:pStyle w:val="BodyText2"/>
        <w:rPr>
          <w:color w:val="auto"/>
          <w:lang w:val="sr-Cyrl-RS"/>
        </w:rPr>
      </w:pPr>
    </w:p>
    <w:p w:rsidR="00A968D5" w:rsidRPr="00EC615C" w:rsidRDefault="0059619E" w:rsidP="00A968D5">
      <w:pPr>
        <w:pStyle w:val="BodyText2"/>
        <w:ind w:firstLine="720"/>
        <w:rPr>
          <w:color w:val="auto"/>
          <w:lang w:val="sr-Cyrl-RS"/>
        </w:rPr>
      </w:pPr>
      <w:r>
        <w:rPr>
          <w:color w:val="auto"/>
          <w:lang w:val="sr-Cyrl-RS"/>
        </w:rPr>
        <w:t xml:space="preserve">Укупно је уписано 922 </w:t>
      </w:r>
      <w:r w:rsidR="00A968D5" w:rsidRPr="00EC615C">
        <w:rPr>
          <w:color w:val="auto"/>
          <w:lang w:val="sr-Cyrl-RS"/>
        </w:rPr>
        <w:t>ученика у планирана огледна одељења у четворогодишњем трајању.</w:t>
      </w:r>
      <w:r>
        <w:rPr>
          <w:color w:val="auto"/>
          <w:lang w:val="sr-Cyrl-RS"/>
        </w:rPr>
        <w:t xml:space="preserve"> Планирано је 108 места мање, а уписано 233 ученика мање него прошле школске године.</w:t>
      </w:r>
    </w:p>
    <w:p w:rsidR="00A968D5" w:rsidRPr="00EC615C" w:rsidRDefault="00A968D5" w:rsidP="00A968D5">
      <w:pPr>
        <w:pStyle w:val="BodyText2"/>
        <w:ind w:firstLine="720"/>
        <w:rPr>
          <w:color w:val="auto"/>
          <w:lang w:val="sr-Cyrl-RS"/>
        </w:rPr>
      </w:pPr>
    </w:p>
    <w:p w:rsidR="00A968D5" w:rsidRPr="00933BBE" w:rsidRDefault="00A968D5" w:rsidP="00A968D5">
      <w:pPr>
        <w:jc w:val="both"/>
        <w:rPr>
          <w:lang w:val="sr-Cyrl-CS"/>
        </w:rPr>
      </w:pPr>
      <w:r w:rsidRPr="00933BBE">
        <w:rPr>
          <w:lang w:val="sr-Cyrl-CS"/>
        </w:rPr>
        <w:tab/>
        <w:t xml:space="preserve"> План уписа ученика у школама на </w:t>
      </w:r>
      <w:r w:rsidRPr="00933BBE">
        <w:rPr>
          <w:b/>
          <w:lang w:val="sr-Cyrl-CS"/>
        </w:rPr>
        <w:t>српск</w:t>
      </w:r>
      <w:r>
        <w:rPr>
          <w:b/>
          <w:lang w:val="sr-Cyrl-CS"/>
        </w:rPr>
        <w:t>о</w:t>
      </w:r>
      <w:r w:rsidRPr="00933BBE">
        <w:rPr>
          <w:b/>
          <w:lang w:val="sr-Cyrl-CS"/>
        </w:rPr>
        <w:t>м језику</w:t>
      </w:r>
      <w:r w:rsidRPr="00933BBE">
        <w:rPr>
          <w:lang w:val="sr-Cyrl-CS"/>
        </w:rPr>
        <w:t xml:space="preserve"> остварен је са </w:t>
      </w:r>
      <w:r>
        <w:rPr>
          <w:b/>
          <w:bCs/>
          <w:lang w:val="sr-Cyrl-CS"/>
        </w:rPr>
        <w:t>8</w:t>
      </w:r>
      <w:r w:rsidR="00C050C4">
        <w:rPr>
          <w:b/>
          <w:bCs/>
          <w:lang w:val="sr-Cyrl-CS"/>
        </w:rPr>
        <w:t>6</w:t>
      </w:r>
      <w:r>
        <w:rPr>
          <w:b/>
          <w:bCs/>
          <w:lang w:val="sr-Cyrl-CS"/>
        </w:rPr>
        <w:t>,</w:t>
      </w:r>
      <w:r w:rsidR="00C050C4">
        <w:rPr>
          <w:b/>
          <w:bCs/>
          <w:lang w:val="sr-Cyrl-CS"/>
        </w:rPr>
        <w:t>19</w:t>
      </w:r>
      <w:r w:rsidRPr="00933BBE">
        <w:rPr>
          <w:b/>
          <w:bCs/>
          <w:lang w:val="sr-Cyrl-CS"/>
        </w:rPr>
        <w:t>%</w:t>
      </w:r>
      <w:r w:rsidRPr="00933BBE">
        <w:rPr>
          <w:lang w:val="sr-Cyrl-CS"/>
        </w:rPr>
        <w:t>, јер је на планиран</w:t>
      </w:r>
      <w:r w:rsidR="00EC615C">
        <w:rPr>
          <w:lang w:val="sr-Cyrl-CS"/>
        </w:rPr>
        <w:t>их</w:t>
      </w:r>
      <w:r w:rsidRPr="00933BBE">
        <w:rPr>
          <w:lang w:val="sr-Cyrl-CS"/>
        </w:rPr>
        <w:t xml:space="preserve"> </w:t>
      </w:r>
      <w:r w:rsidRPr="00933BBE">
        <w:rPr>
          <w:b/>
          <w:bCs/>
          <w:lang w:val="sr-Cyrl-CS"/>
        </w:rPr>
        <w:t>1</w:t>
      </w:r>
      <w:r w:rsidR="00C050C4">
        <w:rPr>
          <w:b/>
          <w:bCs/>
          <w:lang w:val="sr-Cyrl-CS"/>
        </w:rPr>
        <w:t>4</w:t>
      </w:r>
      <w:r w:rsidRPr="00933BBE">
        <w:rPr>
          <w:b/>
          <w:bCs/>
          <w:lang w:val="sr-Cyrl-CS"/>
        </w:rPr>
        <w:t>.</w:t>
      </w:r>
      <w:r w:rsidR="00C050C4">
        <w:rPr>
          <w:b/>
          <w:bCs/>
          <w:lang w:val="sr-Cyrl-CS"/>
        </w:rPr>
        <w:t>685</w:t>
      </w:r>
      <w:r w:rsidRPr="00933BBE">
        <w:rPr>
          <w:b/>
          <w:bCs/>
          <w:lang w:val="sr-Cyrl-CS"/>
        </w:rPr>
        <w:t xml:space="preserve"> мест</w:t>
      </w:r>
      <w:r w:rsidR="00C050C4">
        <w:rPr>
          <w:b/>
          <w:bCs/>
          <w:lang w:val="sr-Cyrl-CS"/>
        </w:rPr>
        <w:t>а</w:t>
      </w:r>
      <w:r w:rsidRPr="00933BBE">
        <w:rPr>
          <w:lang w:val="sr-Cyrl-CS"/>
        </w:rPr>
        <w:t xml:space="preserve"> уписано </w:t>
      </w:r>
      <w:r>
        <w:rPr>
          <w:b/>
          <w:bCs/>
          <w:lang w:val="sr-Cyrl-CS"/>
        </w:rPr>
        <w:t>1</w:t>
      </w:r>
      <w:r w:rsidR="00C050C4">
        <w:rPr>
          <w:b/>
          <w:bCs/>
          <w:lang w:val="sr-Cyrl-CS"/>
        </w:rPr>
        <w:t>2</w:t>
      </w:r>
      <w:r w:rsidRPr="00933BBE">
        <w:rPr>
          <w:b/>
          <w:bCs/>
          <w:lang w:val="sr-Cyrl-CS"/>
        </w:rPr>
        <w:t>.</w:t>
      </w:r>
      <w:r w:rsidR="00C050C4">
        <w:rPr>
          <w:b/>
          <w:bCs/>
          <w:lang w:val="sr-Cyrl-CS"/>
        </w:rPr>
        <w:t>657</w:t>
      </w:r>
      <w:r w:rsidRPr="00933BBE">
        <w:rPr>
          <w:b/>
          <w:bCs/>
          <w:lang w:val="sr-Cyrl-CS"/>
        </w:rPr>
        <w:t xml:space="preserve"> ученика</w:t>
      </w:r>
      <w:r w:rsidRPr="00933BBE">
        <w:rPr>
          <w:lang w:val="sr-Cyrl-CS"/>
        </w:rPr>
        <w:t xml:space="preserve">. </w:t>
      </w:r>
      <w:r w:rsidRPr="00933BBE">
        <w:rPr>
          <w:b/>
          <w:lang w:val="sr-Cyrl-CS"/>
        </w:rPr>
        <w:t>Реализација уписа</w:t>
      </w:r>
      <w:r w:rsidRPr="00933BBE">
        <w:rPr>
          <w:lang w:val="sr-Cyrl-CS"/>
        </w:rPr>
        <w:t xml:space="preserve"> је у односу на прошлу школску годину </w:t>
      </w:r>
      <w:r>
        <w:rPr>
          <w:b/>
          <w:lang w:val="sr-Cyrl-CS"/>
        </w:rPr>
        <w:t xml:space="preserve">мања за </w:t>
      </w:r>
      <w:r w:rsidR="00C050C4">
        <w:rPr>
          <w:b/>
          <w:lang w:val="sr-Cyrl-CS"/>
        </w:rPr>
        <w:t>2</w:t>
      </w:r>
      <w:r>
        <w:rPr>
          <w:b/>
          <w:lang w:val="sr-Cyrl-CS"/>
        </w:rPr>
        <w:t>%</w:t>
      </w:r>
      <w:r w:rsidRPr="00933BBE">
        <w:rPr>
          <w:lang w:val="sr-Cyrl-CS"/>
        </w:rPr>
        <w:t xml:space="preserve">, </w:t>
      </w:r>
      <w:r>
        <w:rPr>
          <w:lang w:val="sr-Cyrl-CS"/>
        </w:rPr>
        <w:t xml:space="preserve">будући да је </w:t>
      </w:r>
      <w:r w:rsidRPr="00933BBE">
        <w:rPr>
          <w:b/>
          <w:lang w:val="sr-Cyrl-CS"/>
        </w:rPr>
        <w:t>број</w:t>
      </w:r>
      <w:r w:rsidRPr="00933BBE">
        <w:rPr>
          <w:lang w:val="sr-Cyrl-CS"/>
        </w:rPr>
        <w:t xml:space="preserve"> планираних </w:t>
      </w:r>
      <w:r w:rsidRPr="00933BBE">
        <w:rPr>
          <w:b/>
          <w:lang w:val="sr-Cyrl-CS"/>
        </w:rPr>
        <w:t>места</w:t>
      </w:r>
      <w:r>
        <w:rPr>
          <w:b/>
          <w:lang w:val="sr-Cyrl-CS"/>
        </w:rPr>
        <w:t xml:space="preserve"> мањи</w:t>
      </w:r>
      <w:r w:rsidRPr="00933BBE">
        <w:rPr>
          <w:b/>
          <w:lang w:val="sr-Cyrl-CS"/>
        </w:rPr>
        <w:t xml:space="preserve"> за </w:t>
      </w:r>
      <w:r w:rsidR="00C050C4">
        <w:rPr>
          <w:b/>
          <w:lang w:val="sr-Cyrl-CS"/>
        </w:rPr>
        <w:t>396</w:t>
      </w:r>
      <w:r w:rsidRPr="00933BBE">
        <w:rPr>
          <w:lang w:val="sr-Cyrl-CS"/>
        </w:rPr>
        <w:t xml:space="preserve">, а </w:t>
      </w:r>
      <w:r w:rsidRPr="00933BBE">
        <w:rPr>
          <w:b/>
          <w:lang w:val="sr-Cyrl-CS"/>
        </w:rPr>
        <w:t>број</w:t>
      </w:r>
      <w:r w:rsidRPr="00933BBE">
        <w:rPr>
          <w:lang w:val="sr-Cyrl-CS"/>
        </w:rPr>
        <w:t xml:space="preserve"> уписаних </w:t>
      </w:r>
      <w:r w:rsidRPr="00933BBE">
        <w:rPr>
          <w:b/>
          <w:lang w:val="sr-Cyrl-CS"/>
        </w:rPr>
        <w:t xml:space="preserve">ученика </w:t>
      </w:r>
      <w:r>
        <w:rPr>
          <w:b/>
          <w:lang w:val="sr-Cyrl-CS"/>
        </w:rPr>
        <w:t>мањи</w:t>
      </w:r>
      <w:r w:rsidRPr="00933BBE">
        <w:rPr>
          <w:b/>
          <w:lang w:val="sr-Cyrl-CS"/>
        </w:rPr>
        <w:t xml:space="preserve"> за </w:t>
      </w:r>
      <w:r w:rsidR="00C050C4">
        <w:rPr>
          <w:b/>
          <w:lang w:val="sr-Cyrl-CS"/>
        </w:rPr>
        <w:t>643</w:t>
      </w:r>
      <w:r w:rsidRPr="00933BBE">
        <w:rPr>
          <w:lang w:val="sr-Cyrl-CS"/>
        </w:rPr>
        <w:t>.</w:t>
      </w:r>
    </w:p>
    <w:p w:rsidR="00A968D5" w:rsidRPr="00933BBE" w:rsidRDefault="00A968D5" w:rsidP="00A968D5">
      <w:pPr>
        <w:jc w:val="both"/>
        <w:rPr>
          <w:lang w:val="sr-Cyrl-CS"/>
        </w:rPr>
      </w:pPr>
    </w:p>
    <w:p w:rsidR="00A968D5" w:rsidRPr="00933BBE" w:rsidRDefault="00A968D5" w:rsidP="00A968D5">
      <w:pPr>
        <w:jc w:val="both"/>
        <w:rPr>
          <w:lang w:val="sr-Cyrl-CS"/>
        </w:rPr>
      </w:pPr>
      <w:r w:rsidRPr="00933BBE">
        <w:rPr>
          <w:lang w:val="sr-Cyrl-CS"/>
        </w:rPr>
        <w:lastRenderedPageBreak/>
        <w:tab/>
        <w:t xml:space="preserve">У школама у којима се настава изводи на </w:t>
      </w:r>
      <w:r w:rsidRPr="00933BBE">
        <w:rPr>
          <w:b/>
          <w:bCs/>
          <w:lang w:val="sr-Cyrl-CS"/>
        </w:rPr>
        <w:t>мађарском језику</w:t>
      </w:r>
      <w:r w:rsidRPr="00933BBE">
        <w:rPr>
          <w:lang w:val="sr-Cyrl-CS"/>
        </w:rPr>
        <w:t xml:space="preserve">, упис је остварен са </w:t>
      </w:r>
      <w:r>
        <w:rPr>
          <w:b/>
          <w:lang w:val="sr-Cyrl-CS"/>
        </w:rPr>
        <w:t>73</w:t>
      </w:r>
      <w:r w:rsidRPr="00933BBE">
        <w:rPr>
          <w:b/>
          <w:bCs/>
          <w:lang w:val="sr-Cyrl-CS"/>
        </w:rPr>
        <w:t>,</w:t>
      </w:r>
      <w:r w:rsidR="00C050C4">
        <w:rPr>
          <w:b/>
          <w:bCs/>
          <w:lang w:val="sr-Cyrl-CS"/>
        </w:rPr>
        <w:t>6</w:t>
      </w:r>
      <w:r>
        <w:rPr>
          <w:b/>
          <w:bCs/>
          <w:lang w:val="sr-Cyrl-CS"/>
        </w:rPr>
        <w:t>9</w:t>
      </w:r>
      <w:r w:rsidRPr="00933BBE">
        <w:rPr>
          <w:b/>
          <w:bCs/>
          <w:lang w:val="sr-Cyrl-CS"/>
        </w:rPr>
        <w:t>%</w:t>
      </w:r>
      <w:r w:rsidRPr="00933BBE">
        <w:rPr>
          <w:lang w:val="sr-Cyrl-CS"/>
        </w:rPr>
        <w:t>, јер је на планиран</w:t>
      </w:r>
      <w:r>
        <w:rPr>
          <w:lang w:val="sr-Cyrl-CS"/>
        </w:rPr>
        <w:t>а</w:t>
      </w:r>
      <w:r w:rsidRPr="00933BBE">
        <w:rPr>
          <w:lang w:val="sr-Cyrl-CS"/>
        </w:rPr>
        <w:t xml:space="preserve"> </w:t>
      </w:r>
      <w:r w:rsidRPr="00933BBE">
        <w:rPr>
          <w:b/>
          <w:bCs/>
          <w:lang w:val="sr-Cyrl-CS"/>
        </w:rPr>
        <w:t>1.</w:t>
      </w:r>
      <w:r w:rsidR="00C050C4">
        <w:rPr>
          <w:b/>
          <w:bCs/>
          <w:lang w:val="sr-Cyrl-CS"/>
        </w:rPr>
        <w:t>714</w:t>
      </w:r>
      <w:r w:rsidRPr="00933BBE">
        <w:rPr>
          <w:b/>
          <w:bCs/>
          <w:lang w:val="sr-Cyrl-CS"/>
        </w:rPr>
        <w:t xml:space="preserve"> места</w:t>
      </w:r>
      <w:r w:rsidRPr="00933BBE">
        <w:rPr>
          <w:lang w:val="sr-Cyrl-CS"/>
        </w:rPr>
        <w:t xml:space="preserve"> уписно </w:t>
      </w:r>
      <w:r>
        <w:rPr>
          <w:b/>
          <w:bCs/>
          <w:lang w:val="sr-Cyrl-CS"/>
        </w:rPr>
        <w:t>1.</w:t>
      </w:r>
      <w:r w:rsidR="00C050C4">
        <w:rPr>
          <w:b/>
          <w:bCs/>
          <w:lang w:val="sr-Cyrl-CS"/>
        </w:rPr>
        <w:t>263</w:t>
      </w:r>
      <w:r w:rsidRPr="00933BBE">
        <w:rPr>
          <w:b/>
          <w:bCs/>
          <w:lang w:val="sr-Cyrl-CS"/>
        </w:rPr>
        <w:t xml:space="preserve"> ученика</w:t>
      </w:r>
      <w:r w:rsidRPr="00933BBE">
        <w:rPr>
          <w:lang w:val="sr-Cyrl-CS"/>
        </w:rPr>
        <w:t xml:space="preserve">. Реализација уписа је </w:t>
      </w:r>
      <w:r w:rsidR="00C050C4">
        <w:rPr>
          <w:lang w:val="sr-Cyrl-CS"/>
        </w:rPr>
        <w:t xml:space="preserve">иста као прошле школске године. </w:t>
      </w:r>
    </w:p>
    <w:p w:rsidR="00A968D5" w:rsidRPr="00933BBE" w:rsidRDefault="00A968D5" w:rsidP="00A968D5">
      <w:pPr>
        <w:jc w:val="both"/>
        <w:rPr>
          <w:lang w:val="sr-Cyrl-CS"/>
        </w:rPr>
      </w:pPr>
    </w:p>
    <w:p w:rsidR="00A968D5" w:rsidRPr="005922BC" w:rsidRDefault="00A968D5" w:rsidP="00A968D5">
      <w:pPr>
        <w:jc w:val="both"/>
        <w:rPr>
          <w:lang w:val="sr-Cyrl-CS"/>
        </w:rPr>
      </w:pPr>
      <w:r w:rsidRPr="00933BBE">
        <w:rPr>
          <w:lang w:val="sr-Cyrl-CS"/>
        </w:rPr>
        <w:tab/>
        <w:t xml:space="preserve">У школама у којима се настава изводи на </w:t>
      </w:r>
      <w:r w:rsidRPr="00933BBE">
        <w:rPr>
          <w:b/>
          <w:bCs/>
          <w:lang w:val="sr-Cyrl-CS"/>
        </w:rPr>
        <w:t>словачком језику</w:t>
      </w:r>
      <w:r w:rsidRPr="00933BBE">
        <w:rPr>
          <w:lang w:val="sr-Cyrl-CS"/>
        </w:rPr>
        <w:t xml:space="preserve">, упис је остварен са </w:t>
      </w:r>
      <w:r w:rsidR="00C050C4">
        <w:rPr>
          <w:b/>
          <w:lang w:val="sr-Cyrl-CS"/>
        </w:rPr>
        <w:t>85</w:t>
      </w:r>
      <w:r w:rsidRPr="00933BBE">
        <w:rPr>
          <w:b/>
          <w:lang w:val="sr-Cyrl-CS"/>
        </w:rPr>
        <w:t>,</w:t>
      </w:r>
      <w:r w:rsidR="00C050C4">
        <w:rPr>
          <w:b/>
          <w:lang w:val="sr-Cyrl-CS"/>
        </w:rPr>
        <w:t>83</w:t>
      </w:r>
      <w:r w:rsidRPr="00933BBE">
        <w:rPr>
          <w:b/>
          <w:bCs/>
          <w:lang w:val="sr-Cyrl-CS"/>
        </w:rPr>
        <w:t>%</w:t>
      </w:r>
      <w:r>
        <w:rPr>
          <w:b/>
          <w:bCs/>
          <w:lang w:val="sr-Cyrl-CS"/>
        </w:rPr>
        <w:t xml:space="preserve">, </w:t>
      </w:r>
      <w:r w:rsidRPr="00AC753C">
        <w:rPr>
          <w:bCs/>
          <w:lang w:val="sr-Cyrl-CS"/>
        </w:rPr>
        <w:t>што је за</w:t>
      </w:r>
      <w:r>
        <w:rPr>
          <w:b/>
          <w:bCs/>
          <w:lang w:val="sr-Cyrl-CS"/>
        </w:rPr>
        <w:t xml:space="preserve"> 1</w:t>
      </w:r>
      <w:r w:rsidR="00C050C4">
        <w:rPr>
          <w:b/>
          <w:bCs/>
          <w:lang w:val="sr-Cyrl-CS"/>
        </w:rPr>
        <w:t>9</w:t>
      </w:r>
      <w:r>
        <w:rPr>
          <w:b/>
          <w:bCs/>
          <w:lang w:val="sr-Cyrl-CS"/>
        </w:rPr>
        <w:t>,</w:t>
      </w:r>
      <w:r w:rsidR="00C050C4">
        <w:rPr>
          <w:b/>
          <w:bCs/>
          <w:lang w:val="sr-Cyrl-CS"/>
        </w:rPr>
        <w:t>16</w:t>
      </w:r>
      <w:r>
        <w:rPr>
          <w:b/>
          <w:bCs/>
          <w:lang w:val="sr-Cyrl-CS"/>
        </w:rPr>
        <w:t xml:space="preserve">% више </w:t>
      </w:r>
      <w:r>
        <w:rPr>
          <w:bCs/>
          <w:lang w:val="sr-Cyrl-CS"/>
        </w:rPr>
        <w:t>него прошле школске године,</w:t>
      </w:r>
      <w:r w:rsidRPr="00933BBE">
        <w:rPr>
          <w:lang w:val="sr-Cyrl-CS"/>
        </w:rPr>
        <w:t xml:space="preserve"> јер је на планираних </w:t>
      </w:r>
      <w:r w:rsidRPr="00E11261">
        <w:rPr>
          <w:b/>
          <w:lang w:val="sr-Cyrl-CS"/>
        </w:rPr>
        <w:t>1</w:t>
      </w:r>
      <w:r w:rsidR="00C050C4">
        <w:rPr>
          <w:b/>
          <w:lang w:val="sr-Cyrl-CS"/>
        </w:rPr>
        <w:t>2</w:t>
      </w:r>
      <w:r w:rsidRPr="00E11261">
        <w:rPr>
          <w:b/>
          <w:lang w:val="sr-Cyrl-CS"/>
        </w:rPr>
        <w:t>0</w:t>
      </w:r>
      <w:r w:rsidRPr="00E11261">
        <w:rPr>
          <w:b/>
          <w:bCs/>
          <w:lang w:val="sr-Cyrl-CS"/>
        </w:rPr>
        <w:t xml:space="preserve"> </w:t>
      </w:r>
      <w:r w:rsidRPr="00933BBE">
        <w:rPr>
          <w:b/>
          <w:bCs/>
          <w:lang w:val="sr-Cyrl-CS"/>
        </w:rPr>
        <w:t>места</w:t>
      </w:r>
      <w:r w:rsidRPr="00933BBE">
        <w:rPr>
          <w:lang w:val="sr-Cyrl-CS"/>
        </w:rPr>
        <w:t xml:space="preserve"> </w:t>
      </w:r>
      <w:r w:rsidR="00E70FA8">
        <w:rPr>
          <w:lang w:val="sr-Cyrl-CS"/>
        </w:rPr>
        <w:t xml:space="preserve">(30 места мање него претходне године) </w:t>
      </w:r>
      <w:r w:rsidRPr="00933BBE">
        <w:rPr>
          <w:lang w:val="sr-Cyrl-CS"/>
        </w:rPr>
        <w:t xml:space="preserve">уписано </w:t>
      </w:r>
      <w:r>
        <w:rPr>
          <w:b/>
          <w:lang w:val="sr-Cyrl-CS"/>
        </w:rPr>
        <w:t>10</w:t>
      </w:r>
      <w:r w:rsidR="00C050C4">
        <w:rPr>
          <w:b/>
          <w:lang w:val="sr-Cyrl-CS"/>
        </w:rPr>
        <w:t>3</w:t>
      </w:r>
      <w:r w:rsidRPr="00933BBE">
        <w:rPr>
          <w:b/>
          <w:bCs/>
          <w:lang w:val="sr-Cyrl-CS"/>
        </w:rPr>
        <w:t xml:space="preserve"> ученика</w:t>
      </w:r>
      <w:r w:rsidRPr="00933BBE">
        <w:rPr>
          <w:lang w:val="sr-Cyrl-CS"/>
        </w:rPr>
        <w:t xml:space="preserve"> (</w:t>
      </w:r>
      <w:r w:rsidR="00C050C4">
        <w:rPr>
          <w:lang w:val="sr-Cyrl-CS"/>
        </w:rPr>
        <w:t>3</w:t>
      </w:r>
      <w:r>
        <w:rPr>
          <w:lang w:val="sr-Cyrl-CS"/>
        </w:rPr>
        <w:t xml:space="preserve"> ученика </w:t>
      </w:r>
      <w:r w:rsidR="00E70FA8">
        <w:rPr>
          <w:lang w:val="sr-Cyrl-CS"/>
        </w:rPr>
        <w:t>више</w:t>
      </w:r>
      <w:r>
        <w:rPr>
          <w:lang w:val="sr-Cyrl-CS"/>
        </w:rPr>
        <w:t xml:space="preserve"> него претходне школске године</w:t>
      </w:r>
      <w:r w:rsidRPr="00933BBE">
        <w:rPr>
          <w:lang w:val="sr-Cyrl-CS"/>
        </w:rPr>
        <w:t>).</w:t>
      </w:r>
      <w:r>
        <w:rPr>
          <w:lang w:val="sr-Cyrl-CS"/>
        </w:rPr>
        <w:t xml:space="preserve"> </w:t>
      </w:r>
      <w:r w:rsidRPr="005922BC">
        <w:rPr>
          <w:lang w:val="sr-Cyrl-CS"/>
        </w:rPr>
        <w:t xml:space="preserve"> </w:t>
      </w:r>
    </w:p>
    <w:p w:rsidR="00A968D5" w:rsidRPr="00933BBE" w:rsidRDefault="00A968D5" w:rsidP="00A968D5">
      <w:pPr>
        <w:jc w:val="both"/>
        <w:rPr>
          <w:lang w:val="sr-Cyrl-CS"/>
        </w:rPr>
      </w:pPr>
    </w:p>
    <w:p w:rsidR="00A968D5" w:rsidRPr="00933BBE" w:rsidRDefault="00A968D5" w:rsidP="00A968D5">
      <w:pPr>
        <w:jc w:val="both"/>
        <w:rPr>
          <w:lang w:val="sr-Cyrl-CS"/>
        </w:rPr>
      </w:pPr>
      <w:r w:rsidRPr="00933BBE">
        <w:rPr>
          <w:lang w:val="sr-Cyrl-CS"/>
        </w:rPr>
        <w:tab/>
        <w:t xml:space="preserve">У школама у којима се настава изводи на </w:t>
      </w:r>
      <w:r w:rsidRPr="00933BBE">
        <w:rPr>
          <w:b/>
          <w:bCs/>
          <w:lang w:val="sr-Cyrl-CS"/>
        </w:rPr>
        <w:t>румунском језику</w:t>
      </w:r>
      <w:r w:rsidRPr="00933BBE">
        <w:rPr>
          <w:lang w:val="sr-Cyrl-CS"/>
        </w:rPr>
        <w:t xml:space="preserve"> упис је остварен са </w:t>
      </w:r>
      <w:r w:rsidR="0087698C">
        <w:rPr>
          <w:b/>
          <w:lang w:val="sr-Cyrl-CS"/>
        </w:rPr>
        <w:t>95</w:t>
      </w:r>
      <w:r w:rsidRPr="00933BBE">
        <w:rPr>
          <w:b/>
          <w:bCs/>
          <w:lang w:val="sr-Cyrl-CS"/>
        </w:rPr>
        <w:t>%</w:t>
      </w:r>
      <w:r w:rsidRPr="00933BBE">
        <w:rPr>
          <w:lang w:val="sr-Cyrl-CS"/>
        </w:rPr>
        <w:t xml:space="preserve">, јер је на планираних </w:t>
      </w:r>
      <w:r w:rsidRPr="00933BBE">
        <w:rPr>
          <w:b/>
          <w:bCs/>
          <w:lang w:val="sr-Cyrl-CS"/>
        </w:rPr>
        <w:t xml:space="preserve">60 места, </w:t>
      </w:r>
      <w:r w:rsidRPr="00933BBE">
        <w:rPr>
          <w:lang w:val="sr-Cyrl-CS"/>
        </w:rPr>
        <w:t xml:space="preserve">уписано </w:t>
      </w:r>
      <w:r w:rsidR="0087698C">
        <w:rPr>
          <w:b/>
          <w:lang w:val="sr-Cyrl-CS"/>
        </w:rPr>
        <w:t>57</w:t>
      </w:r>
      <w:r w:rsidRPr="00933BBE">
        <w:rPr>
          <w:b/>
          <w:bCs/>
          <w:lang w:val="sr-Cyrl-CS"/>
        </w:rPr>
        <w:t xml:space="preserve"> ученика (</w:t>
      </w:r>
      <w:r w:rsidR="0087698C">
        <w:rPr>
          <w:bCs/>
          <w:lang w:val="sr-Cyrl-CS"/>
        </w:rPr>
        <w:t>осам</w:t>
      </w:r>
      <w:r w:rsidRPr="00933BBE">
        <w:rPr>
          <w:bCs/>
          <w:lang w:val="sr-Cyrl-CS"/>
        </w:rPr>
        <w:t xml:space="preserve"> ученика </w:t>
      </w:r>
      <w:r>
        <w:rPr>
          <w:bCs/>
          <w:lang w:val="sr-Cyrl-CS"/>
        </w:rPr>
        <w:t>више</w:t>
      </w:r>
      <w:r w:rsidRPr="00933BBE">
        <w:rPr>
          <w:bCs/>
          <w:lang w:val="sr-Cyrl-CS"/>
        </w:rPr>
        <w:t xml:space="preserve"> него прошле школске године</w:t>
      </w:r>
      <w:r w:rsidRPr="00933BBE">
        <w:rPr>
          <w:b/>
          <w:bCs/>
          <w:lang w:val="sr-Cyrl-CS"/>
        </w:rPr>
        <w:t>)</w:t>
      </w:r>
      <w:r w:rsidRPr="00933BBE">
        <w:rPr>
          <w:lang w:val="sr-Cyrl-CS"/>
        </w:rPr>
        <w:t xml:space="preserve">. </w:t>
      </w:r>
    </w:p>
    <w:p w:rsidR="00A968D5" w:rsidRPr="00933BBE" w:rsidRDefault="00A968D5" w:rsidP="00A968D5">
      <w:pPr>
        <w:jc w:val="both"/>
        <w:rPr>
          <w:lang w:val="sr-Cyrl-CS"/>
        </w:rPr>
      </w:pPr>
    </w:p>
    <w:p w:rsidR="00A968D5" w:rsidRPr="00933BBE" w:rsidRDefault="00A968D5" w:rsidP="00A968D5">
      <w:pPr>
        <w:jc w:val="both"/>
        <w:rPr>
          <w:lang w:val="sr-Cyrl-CS"/>
        </w:rPr>
      </w:pPr>
      <w:r w:rsidRPr="00933BBE">
        <w:rPr>
          <w:lang w:val="sr-Cyrl-CS"/>
        </w:rPr>
        <w:tab/>
        <w:t xml:space="preserve">У школи у којој се настава изводи на </w:t>
      </w:r>
      <w:r w:rsidRPr="00933BBE">
        <w:rPr>
          <w:b/>
          <w:bCs/>
          <w:lang w:val="sr-Cyrl-CS"/>
        </w:rPr>
        <w:t>русинском језику,</w:t>
      </w:r>
      <w:r w:rsidRPr="00933BBE">
        <w:rPr>
          <w:lang w:val="sr-Cyrl-CS"/>
        </w:rPr>
        <w:t xml:space="preserve"> упис је остварен са </w:t>
      </w:r>
      <w:r w:rsidR="0087698C">
        <w:rPr>
          <w:b/>
          <w:lang w:val="sr-Cyrl-CS"/>
        </w:rPr>
        <w:t>43</w:t>
      </w:r>
      <w:r>
        <w:rPr>
          <w:b/>
          <w:lang w:val="sr-Cyrl-CS"/>
        </w:rPr>
        <w:t>,</w:t>
      </w:r>
      <w:r w:rsidR="0087698C">
        <w:rPr>
          <w:b/>
          <w:lang w:val="sr-Cyrl-CS"/>
        </w:rPr>
        <w:t>33</w:t>
      </w:r>
      <w:r w:rsidRPr="00933BBE">
        <w:rPr>
          <w:b/>
          <w:bCs/>
          <w:lang w:val="sr-Cyrl-CS"/>
        </w:rPr>
        <w:t>%</w:t>
      </w:r>
      <w:r w:rsidRPr="00933BBE">
        <w:rPr>
          <w:lang w:val="sr-Cyrl-CS"/>
        </w:rPr>
        <w:t xml:space="preserve">, јер је на планираних </w:t>
      </w:r>
      <w:r w:rsidRPr="00933BBE">
        <w:rPr>
          <w:b/>
          <w:bCs/>
          <w:lang w:val="sr-Cyrl-CS"/>
        </w:rPr>
        <w:t>30 места</w:t>
      </w:r>
      <w:r w:rsidRPr="00933BBE">
        <w:rPr>
          <w:lang w:val="sr-Cyrl-CS"/>
        </w:rPr>
        <w:t xml:space="preserve"> уписано </w:t>
      </w:r>
      <w:r w:rsidRPr="00933BBE">
        <w:rPr>
          <w:b/>
          <w:lang w:val="sr-Cyrl-CS"/>
        </w:rPr>
        <w:t>1</w:t>
      </w:r>
      <w:r w:rsidR="0087698C">
        <w:rPr>
          <w:b/>
          <w:lang w:val="sr-Cyrl-CS"/>
        </w:rPr>
        <w:t>3</w:t>
      </w:r>
      <w:r w:rsidRPr="00933BBE">
        <w:rPr>
          <w:b/>
          <w:bCs/>
          <w:lang w:val="sr-Cyrl-CS"/>
        </w:rPr>
        <w:t xml:space="preserve"> ученика</w:t>
      </w:r>
      <w:r w:rsidRPr="00933BBE">
        <w:rPr>
          <w:lang w:val="sr-Cyrl-CS"/>
        </w:rPr>
        <w:t>. У односу на претходну школску годину</w:t>
      </w:r>
      <w:r>
        <w:rPr>
          <w:lang w:val="sr-Cyrl-CS"/>
        </w:rPr>
        <w:t>,</w:t>
      </w:r>
      <w:r w:rsidRPr="00933BBE">
        <w:rPr>
          <w:lang w:val="sr-Cyrl-CS"/>
        </w:rPr>
        <w:t xml:space="preserve"> уписан</w:t>
      </w:r>
      <w:r>
        <w:rPr>
          <w:lang w:val="sr-Cyrl-CS"/>
        </w:rPr>
        <w:t>о</w:t>
      </w:r>
      <w:r w:rsidRPr="00933BBE">
        <w:rPr>
          <w:lang w:val="sr-Cyrl-CS"/>
        </w:rPr>
        <w:t xml:space="preserve"> је </w:t>
      </w:r>
      <w:r w:rsidR="0087698C">
        <w:rPr>
          <w:b/>
          <w:lang w:val="sr-Cyrl-CS"/>
        </w:rPr>
        <w:t>два</w:t>
      </w:r>
      <w:r w:rsidRPr="00933BBE">
        <w:rPr>
          <w:b/>
          <w:lang w:val="sr-Cyrl-CS"/>
        </w:rPr>
        <w:t xml:space="preserve"> ученик</w:t>
      </w:r>
      <w:r>
        <w:rPr>
          <w:b/>
          <w:lang w:val="sr-Cyrl-CS"/>
        </w:rPr>
        <w:t>а</w:t>
      </w:r>
      <w:r w:rsidRPr="00933BBE">
        <w:rPr>
          <w:b/>
          <w:lang w:val="sr-Cyrl-CS"/>
        </w:rPr>
        <w:t xml:space="preserve"> </w:t>
      </w:r>
      <w:r w:rsidR="0087698C">
        <w:rPr>
          <w:b/>
          <w:lang w:val="sr-Cyrl-CS"/>
        </w:rPr>
        <w:t>више</w:t>
      </w:r>
      <w:r w:rsidRPr="00933BBE">
        <w:rPr>
          <w:lang w:val="sr-Cyrl-CS"/>
        </w:rPr>
        <w:t xml:space="preserve">. </w:t>
      </w:r>
    </w:p>
    <w:p w:rsidR="00A968D5" w:rsidRPr="00933BBE" w:rsidRDefault="00A968D5" w:rsidP="00A968D5">
      <w:pPr>
        <w:jc w:val="both"/>
        <w:rPr>
          <w:lang w:val="sr-Cyrl-CS"/>
        </w:rPr>
      </w:pPr>
    </w:p>
    <w:p w:rsidR="0087698C" w:rsidRDefault="00A968D5" w:rsidP="00A968D5">
      <w:pPr>
        <w:jc w:val="both"/>
        <w:rPr>
          <w:lang w:val="sr-Cyrl-CS"/>
        </w:rPr>
      </w:pPr>
      <w:r w:rsidRPr="00933BBE">
        <w:rPr>
          <w:lang w:val="sr-Cyrl-CS"/>
        </w:rPr>
        <w:tab/>
        <w:t xml:space="preserve">У школи у којој се настава изводи на </w:t>
      </w:r>
      <w:r w:rsidRPr="00933BBE">
        <w:rPr>
          <w:b/>
          <w:bCs/>
          <w:lang w:val="sr-Cyrl-CS"/>
        </w:rPr>
        <w:t>хрватском језику,</w:t>
      </w:r>
      <w:r w:rsidRPr="00933BBE">
        <w:rPr>
          <w:lang w:val="sr-Cyrl-CS"/>
        </w:rPr>
        <w:t xml:space="preserve"> упис је остварен са </w:t>
      </w:r>
      <w:r w:rsidR="0087698C">
        <w:rPr>
          <w:b/>
          <w:lang w:val="sr-Cyrl-CS"/>
        </w:rPr>
        <w:t>85</w:t>
      </w:r>
      <w:r w:rsidRPr="00933BBE">
        <w:rPr>
          <w:b/>
          <w:bCs/>
          <w:lang w:val="sr-Cyrl-CS"/>
        </w:rPr>
        <w:t>%</w:t>
      </w:r>
      <w:r w:rsidRPr="00933BBE">
        <w:rPr>
          <w:lang w:val="sr-Cyrl-CS"/>
        </w:rPr>
        <w:t xml:space="preserve">, јер је на планираних </w:t>
      </w:r>
      <w:r w:rsidRPr="00933BBE">
        <w:rPr>
          <w:b/>
          <w:bCs/>
          <w:lang w:val="sr-Cyrl-CS"/>
        </w:rPr>
        <w:t>60 места</w:t>
      </w:r>
      <w:r w:rsidRPr="00933BBE">
        <w:rPr>
          <w:lang w:val="sr-Cyrl-CS"/>
        </w:rPr>
        <w:t xml:space="preserve"> уписано </w:t>
      </w:r>
      <w:r w:rsidR="0087698C">
        <w:rPr>
          <w:b/>
          <w:lang w:val="sr-Cyrl-CS"/>
        </w:rPr>
        <w:t>34</w:t>
      </w:r>
      <w:r w:rsidRPr="00933BBE">
        <w:rPr>
          <w:b/>
          <w:bCs/>
          <w:lang w:val="sr-Cyrl-CS"/>
        </w:rPr>
        <w:t xml:space="preserve"> ученика</w:t>
      </w:r>
      <w:r w:rsidRPr="00933BBE">
        <w:rPr>
          <w:lang w:val="sr-Cyrl-CS"/>
        </w:rPr>
        <w:t>. У односу на претходну школску годину уписан</w:t>
      </w:r>
      <w:r>
        <w:rPr>
          <w:lang w:val="sr-Cyrl-CS"/>
        </w:rPr>
        <w:t>о</w:t>
      </w:r>
      <w:r w:rsidRPr="00933BBE">
        <w:rPr>
          <w:lang w:val="sr-Cyrl-CS"/>
        </w:rPr>
        <w:t xml:space="preserve"> је </w:t>
      </w:r>
      <w:r>
        <w:rPr>
          <w:b/>
          <w:lang w:val="sr-Cyrl-CS"/>
        </w:rPr>
        <w:t>шест ученика</w:t>
      </w:r>
      <w:r w:rsidRPr="00933BBE">
        <w:rPr>
          <w:b/>
          <w:lang w:val="sr-Cyrl-CS"/>
        </w:rPr>
        <w:t xml:space="preserve"> </w:t>
      </w:r>
      <w:r w:rsidR="0087698C">
        <w:rPr>
          <w:b/>
          <w:lang w:val="sr-Cyrl-CS"/>
        </w:rPr>
        <w:t>мање</w:t>
      </w:r>
      <w:r w:rsidRPr="00933BBE">
        <w:rPr>
          <w:lang w:val="sr-Cyrl-CS"/>
        </w:rPr>
        <w:t>.</w:t>
      </w:r>
    </w:p>
    <w:p w:rsidR="0087698C" w:rsidRDefault="0087698C" w:rsidP="00A968D5">
      <w:pPr>
        <w:jc w:val="both"/>
        <w:rPr>
          <w:lang w:val="sr-Cyrl-CS"/>
        </w:rPr>
      </w:pPr>
    </w:p>
    <w:p w:rsidR="00A968D5" w:rsidRPr="00933BBE" w:rsidRDefault="0087698C" w:rsidP="00A968D5">
      <w:pPr>
        <w:jc w:val="both"/>
        <w:rPr>
          <w:lang w:val="sr-Cyrl-CS"/>
        </w:rPr>
      </w:pPr>
      <w:r>
        <w:rPr>
          <w:lang w:val="sr-Cyrl-CS"/>
        </w:rPr>
        <w:tab/>
        <w:t xml:space="preserve">У односу на прошлу школску годину, мала су одступања реализације уписа на српском и мађарском наставном језику. Рационалније је планиран упис на словачком језику, па је и реализација знатно боља. На румунском, русинском и хрватском наставном језику планиран је исти број места као и претходних година, а број уписаних ученика варира из године у годину и с обзиром да је мали број ученика у питању, знатно утиче на процентуално изражену рационалност уписа. </w:t>
      </w:r>
      <w:r w:rsidR="00A968D5" w:rsidRPr="00933BBE">
        <w:rPr>
          <w:lang w:val="sr-Cyrl-CS"/>
        </w:rPr>
        <w:t xml:space="preserve"> </w:t>
      </w:r>
    </w:p>
    <w:p w:rsidR="00A968D5" w:rsidRDefault="00A968D5" w:rsidP="00A968D5">
      <w:pPr>
        <w:jc w:val="both"/>
        <w:rPr>
          <w:lang w:val="sr-Cyrl-CS"/>
        </w:rPr>
      </w:pPr>
    </w:p>
    <w:p w:rsidR="00A968D5" w:rsidRDefault="00A968D5" w:rsidP="00A968D5">
      <w:pPr>
        <w:jc w:val="both"/>
        <w:rPr>
          <w:lang w:val="sr-Cyrl-CS"/>
        </w:rPr>
      </w:pPr>
    </w:p>
    <w:p w:rsidR="00A968D5" w:rsidRDefault="00A968D5" w:rsidP="00A968D5">
      <w:pPr>
        <w:jc w:val="both"/>
        <w:rPr>
          <w:lang w:val="sr-Cyrl-CS"/>
        </w:rPr>
      </w:pPr>
    </w:p>
    <w:p w:rsidR="00A968D5" w:rsidRDefault="00A968D5" w:rsidP="00A968D5">
      <w:pPr>
        <w:jc w:val="both"/>
        <w:rPr>
          <w:lang w:val="sr-Cyrl-CS"/>
        </w:rPr>
      </w:pPr>
    </w:p>
    <w:p w:rsidR="00A968D5" w:rsidRDefault="00A968D5" w:rsidP="00A968D5">
      <w:pPr>
        <w:jc w:val="both"/>
        <w:rPr>
          <w:lang w:val="sr-Cyrl-CS"/>
        </w:rPr>
      </w:pPr>
    </w:p>
    <w:p w:rsidR="00A968D5" w:rsidRDefault="00A968D5" w:rsidP="00A968D5">
      <w:pPr>
        <w:jc w:val="both"/>
        <w:rPr>
          <w:lang w:val="sr-Cyrl-CS"/>
        </w:rPr>
      </w:pPr>
    </w:p>
    <w:p w:rsidR="00A968D5" w:rsidRDefault="00A968D5" w:rsidP="00A968D5">
      <w:pPr>
        <w:jc w:val="both"/>
        <w:rPr>
          <w:lang w:val="sr-Cyrl-CS"/>
        </w:rPr>
      </w:pPr>
    </w:p>
    <w:p w:rsidR="00C330E4" w:rsidRDefault="00C330E4" w:rsidP="00A968D5">
      <w:pPr>
        <w:jc w:val="both"/>
        <w:rPr>
          <w:lang w:val="sr-Cyrl-CS"/>
        </w:rPr>
      </w:pPr>
    </w:p>
    <w:p w:rsidR="00C330E4" w:rsidRDefault="00C330E4" w:rsidP="00A968D5">
      <w:pPr>
        <w:jc w:val="both"/>
        <w:rPr>
          <w:lang w:val="sr-Cyrl-CS"/>
        </w:rPr>
      </w:pPr>
    </w:p>
    <w:p w:rsidR="00C330E4" w:rsidRDefault="00C330E4" w:rsidP="00A968D5">
      <w:pPr>
        <w:jc w:val="both"/>
        <w:rPr>
          <w:lang w:val="sr-Cyrl-CS"/>
        </w:rPr>
      </w:pPr>
    </w:p>
    <w:p w:rsidR="00C330E4" w:rsidRDefault="00C330E4" w:rsidP="00A968D5">
      <w:pPr>
        <w:jc w:val="both"/>
        <w:rPr>
          <w:lang w:val="sr-Cyrl-CS"/>
        </w:rPr>
      </w:pPr>
    </w:p>
    <w:p w:rsidR="00C330E4" w:rsidRDefault="00C330E4" w:rsidP="00A968D5">
      <w:pPr>
        <w:jc w:val="both"/>
        <w:rPr>
          <w:lang w:val="sr-Cyrl-CS"/>
        </w:rPr>
      </w:pPr>
    </w:p>
    <w:p w:rsidR="00C330E4" w:rsidRDefault="00C330E4" w:rsidP="00A968D5">
      <w:pPr>
        <w:jc w:val="both"/>
        <w:rPr>
          <w:lang w:val="sr-Cyrl-CS"/>
        </w:rPr>
      </w:pPr>
    </w:p>
    <w:p w:rsidR="00C330E4" w:rsidRDefault="00C330E4" w:rsidP="00A968D5">
      <w:pPr>
        <w:jc w:val="both"/>
        <w:rPr>
          <w:lang w:val="sr-Cyrl-CS"/>
        </w:rPr>
      </w:pPr>
    </w:p>
    <w:p w:rsidR="00C330E4" w:rsidRDefault="00C330E4" w:rsidP="00A968D5">
      <w:pPr>
        <w:jc w:val="both"/>
        <w:rPr>
          <w:lang w:val="sr-Cyrl-CS"/>
        </w:rPr>
      </w:pPr>
    </w:p>
    <w:p w:rsidR="00C330E4" w:rsidRDefault="00C330E4" w:rsidP="00A968D5">
      <w:pPr>
        <w:jc w:val="both"/>
        <w:rPr>
          <w:lang w:val="sr-Cyrl-CS"/>
        </w:rPr>
      </w:pPr>
    </w:p>
    <w:p w:rsidR="00C330E4" w:rsidRDefault="00C330E4" w:rsidP="00A968D5">
      <w:pPr>
        <w:jc w:val="both"/>
        <w:rPr>
          <w:lang w:val="sr-Cyrl-CS"/>
        </w:rPr>
      </w:pPr>
    </w:p>
    <w:p w:rsidR="00C330E4" w:rsidRDefault="00C330E4" w:rsidP="00A968D5">
      <w:pPr>
        <w:jc w:val="both"/>
        <w:rPr>
          <w:lang w:val="sr-Cyrl-CS"/>
        </w:rPr>
      </w:pPr>
    </w:p>
    <w:p w:rsidR="006661B7" w:rsidRDefault="006661B7" w:rsidP="00A968D5">
      <w:pPr>
        <w:jc w:val="both"/>
        <w:rPr>
          <w:lang w:val="sr-Cyrl-CS"/>
        </w:rPr>
      </w:pPr>
    </w:p>
    <w:p w:rsidR="006661B7" w:rsidRDefault="006661B7" w:rsidP="00A968D5">
      <w:pPr>
        <w:jc w:val="both"/>
        <w:rPr>
          <w:lang w:val="sr-Cyrl-CS"/>
        </w:rPr>
      </w:pPr>
    </w:p>
    <w:p w:rsidR="006661B7" w:rsidRDefault="006661B7" w:rsidP="00A968D5">
      <w:pPr>
        <w:jc w:val="both"/>
        <w:rPr>
          <w:lang w:val="sr-Cyrl-CS"/>
        </w:rPr>
      </w:pPr>
    </w:p>
    <w:p w:rsidR="00C330E4" w:rsidRDefault="00C330E4" w:rsidP="00A968D5">
      <w:pPr>
        <w:jc w:val="both"/>
        <w:rPr>
          <w:lang w:val="sr-Cyrl-CS"/>
        </w:rPr>
      </w:pPr>
    </w:p>
    <w:p w:rsidR="00C330E4" w:rsidRDefault="00C330E4" w:rsidP="00A968D5">
      <w:pPr>
        <w:jc w:val="both"/>
        <w:rPr>
          <w:lang w:val="sr-Cyrl-CS"/>
        </w:rPr>
      </w:pPr>
    </w:p>
    <w:p w:rsidR="00A968D5" w:rsidRDefault="00A968D5" w:rsidP="00A968D5">
      <w:pPr>
        <w:jc w:val="both"/>
        <w:rPr>
          <w:lang w:val="sr-Cyrl-CS"/>
        </w:rPr>
      </w:pPr>
      <w:r w:rsidRPr="00E67FAF">
        <w:rPr>
          <w:lang w:val="sr-Cyrl-CS"/>
        </w:rPr>
        <w:lastRenderedPageBreak/>
        <w:t xml:space="preserve">У АП Војводини, по подручјима рада, у </w:t>
      </w:r>
      <w:r w:rsidRPr="00E67FAF">
        <w:rPr>
          <w:b/>
          <w:bCs/>
          <w:lang w:val="sr-Cyrl-CS"/>
        </w:rPr>
        <w:t>четворогодишњем</w:t>
      </w:r>
      <w:r w:rsidRPr="00E67FAF">
        <w:rPr>
          <w:lang w:val="sr-Cyrl-CS"/>
        </w:rPr>
        <w:t xml:space="preserve"> образовању уписано је:</w:t>
      </w:r>
    </w:p>
    <w:p w:rsidR="00A968D5" w:rsidRPr="00933BBE" w:rsidRDefault="00A968D5" w:rsidP="00A968D5">
      <w:pPr>
        <w:jc w:val="both"/>
        <w:rPr>
          <w:lang w:val="sr-Cyrl-CS"/>
        </w:rPr>
      </w:pPr>
    </w:p>
    <w:tbl>
      <w:tblPr>
        <w:tblW w:w="108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1158"/>
        <w:gridCol w:w="1542"/>
        <w:gridCol w:w="900"/>
        <w:gridCol w:w="1080"/>
        <w:gridCol w:w="1440"/>
        <w:gridCol w:w="1080"/>
        <w:gridCol w:w="1620"/>
      </w:tblGrid>
      <w:tr w:rsidR="00A968D5" w:rsidRPr="00933BBE" w:rsidTr="00C61DAF">
        <w:trPr>
          <w:cantSplit/>
        </w:trPr>
        <w:tc>
          <w:tcPr>
            <w:tcW w:w="1980" w:type="dxa"/>
            <w:vMerge w:val="restart"/>
            <w:tcBorders>
              <w:top w:val="thickThinSmallGap" w:sz="24" w:space="0" w:color="auto"/>
              <w:left w:val="thinThickSmallGap" w:sz="24" w:space="0" w:color="auto"/>
            </w:tcBorders>
            <w:vAlign w:val="center"/>
          </w:tcPr>
          <w:p w:rsidR="00A968D5" w:rsidRPr="00933BBE" w:rsidRDefault="00A968D5" w:rsidP="00C61DAF">
            <w:pPr>
              <w:jc w:val="center"/>
              <w:rPr>
                <w:lang w:val="sr-Cyrl-CS"/>
              </w:rPr>
            </w:pPr>
            <w:r w:rsidRPr="00933BBE">
              <w:rPr>
                <w:lang w:val="sr-Cyrl-CS"/>
              </w:rPr>
              <w:t>Подручје рада</w:t>
            </w:r>
          </w:p>
        </w:tc>
        <w:tc>
          <w:tcPr>
            <w:tcW w:w="3600" w:type="dxa"/>
            <w:gridSpan w:val="3"/>
            <w:tcBorders>
              <w:top w:val="thickThinSmallGap" w:sz="24" w:space="0" w:color="auto"/>
              <w:right w:val="double" w:sz="4" w:space="0" w:color="auto"/>
            </w:tcBorders>
            <w:vAlign w:val="center"/>
          </w:tcPr>
          <w:p w:rsidR="00A968D5" w:rsidRPr="00933BBE" w:rsidRDefault="00A968D5" w:rsidP="00C61DAF">
            <w:pPr>
              <w:pStyle w:val="Heading2"/>
            </w:pPr>
          </w:p>
          <w:p w:rsidR="00A968D5" w:rsidRPr="00933BBE" w:rsidRDefault="00A968D5" w:rsidP="00C61DAF">
            <w:pPr>
              <w:pStyle w:val="Heading2"/>
            </w:pPr>
            <w:r w:rsidRPr="00933BBE">
              <w:t>ПЛАНИРАНО</w:t>
            </w:r>
          </w:p>
          <w:p w:rsidR="00A968D5" w:rsidRPr="00933BBE" w:rsidRDefault="00A968D5" w:rsidP="00C61DAF">
            <w:pPr>
              <w:rPr>
                <w:lang w:val="sr-Cyrl-CS"/>
              </w:rPr>
            </w:pPr>
          </w:p>
        </w:tc>
        <w:tc>
          <w:tcPr>
            <w:tcW w:w="5220" w:type="dxa"/>
            <w:gridSpan w:val="4"/>
            <w:tcBorders>
              <w:top w:val="thickThinSmallGap" w:sz="24" w:space="0" w:color="auto"/>
              <w:left w:val="double" w:sz="4" w:space="0" w:color="auto"/>
              <w:right w:val="thickThinSmallGap" w:sz="24" w:space="0" w:color="auto"/>
            </w:tcBorders>
            <w:vAlign w:val="center"/>
          </w:tcPr>
          <w:p w:rsidR="00A968D5" w:rsidRPr="00933BBE" w:rsidRDefault="00A968D5" w:rsidP="00C61DAF">
            <w:pPr>
              <w:pStyle w:val="Heading2"/>
            </w:pPr>
            <w:r w:rsidRPr="00933BBE">
              <w:t>УПИСАНО</w:t>
            </w:r>
          </w:p>
        </w:tc>
      </w:tr>
      <w:tr w:rsidR="00A968D5" w:rsidRPr="00933BBE" w:rsidTr="00C61DAF">
        <w:trPr>
          <w:cantSplit/>
        </w:trPr>
        <w:tc>
          <w:tcPr>
            <w:tcW w:w="1980" w:type="dxa"/>
            <w:vMerge/>
            <w:tcBorders>
              <w:left w:val="thinThickSmallGap" w:sz="24" w:space="0" w:color="auto"/>
              <w:bottom w:val="double" w:sz="4" w:space="0" w:color="auto"/>
            </w:tcBorders>
            <w:vAlign w:val="center"/>
          </w:tcPr>
          <w:p w:rsidR="00A968D5" w:rsidRPr="00933BBE" w:rsidRDefault="00A968D5" w:rsidP="00C61DAF">
            <w:pPr>
              <w:jc w:val="center"/>
              <w:rPr>
                <w:lang w:val="sr-Cyrl-CS"/>
              </w:rPr>
            </w:pPr>
          </w:p>
        </w:tc>
        <w:tc>
          <w:tcPr>
            <w:tcW w:w="1158" w:type="dxa"/>
            <w:tcBorders>
              <w:bottom w:val="double" w:sz="4" w:space="0" w:color="auto"/>
            </w:tcBorders>
            <w:vAlign w:val="center"/>
          </w:tcPr>
          <w:p w:rsidR="00A968D5" w:rsidRPr="008D198D" w:rsidRDefault="00A968D5" w:rsidP="00C61DAF">
            <w:pPr>
              <w:jc w:val="center"/>
              <w:rPr>
                <w:lang w:val="sr-Cyrl-CS"/>
              </w:rPr>
            </w:pPr>
            <w:r w:rsidRPr="008D198D">
              <w:rPr>
                <w:lang w:val="sr-Cyrl-CS"/>
              </w:rPr>
              <w:t>српски</w:t>
            </w:r>
          </w:p>
        </w:tc>
        <w:tc>
          <w:tcPr>
            <w:tcW w:w="1542" w:type="dxa"/>
            <w:tcBorders>
              <w:bottom w:val="double" w:sz="4" w:space="0" w:color="auto"/>
            </w:tcBorders>
            <w:vAlign w:val="center"/>
          </w:tcPr>
          <w:p w:rsidR="00A968D5" w:rsidRPr="008D198D" w:rsidRDefault="00A968D5" w:rsidP="00C61DAF">
            <w:pPr>
              <w:jc w:val="center"/>
              <w:rPr>
                <w:lang w:val="sr-Cyrl-CS"/>
              </w:rPr>
            </w:pPr>
            <w:r w:rsidRPr="008D198D">
              <w:rPr>
                <w:lang w:val="sr-Cyrl-CS"/>
              </w:rPr>
              <w:t>Језик националне</w:t>
            </w:r>
          </w:p>
          <w:p w:rsidR="00A968D5" w:rsidRPr="008D198D" w:rsidRDefault="00A968D5" w:rsidP="00C61DAF">
            <w:pPr>
              <w:jc w:val="center"/>
              <w:rPr>
                <w:lang w:val="sr-Cyrl-CS"/>
              </w:rPr>
            </w:pPr>
            <w:r w:rsidRPr="008D198D">
              <w:rPr>
                <w:lang w:val="sr-Cyrl-CS"/>
              </w:rPr>
              <w:t>мањине</w:t>
            </w:r>
          </w:p>
        </w:tc>
        <w:tc>
          <w:tcPr>
            <w:tcW w:w="900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A968D5" w:rsidRPr="008D198D" w:rsidRDefault="00A968D5" w:rsidP="00C61DAF">
            <w:pPr>
              <w:jc w:val="center"/>
              <w:rPr>
                <w:lang w:val="sr-Cyrl-CS"/>
              </w:rPr>
            </w:pPr>
            <w:r w:rsidRPr="008D198D">
              <w:rPr>
                <w:lang w:val="sr-Cyrl-CS"/>
              </w:rPr>
              <w:t>укупно</w:t>
            </w:r>
          </w:p>
        </w:tc>
        <w:tc>
          <w:tcPr>
            <w:tcW w:w="1080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A968D5" w:rsidRPr="008D198D" w:rsidRDefault="00A968D5" w:rsidP="00C61DAF">
            <w:pPr>
              <w:jc w:val="center"/>
              <w:rPr>
                <w:lang w:val="sr-Cyrl-CS"/>
              </w:rPr>
            </w:pPr>
            <w:r w:rsidRPr="008D198D">
              <w:rPr>
                <w:lang w:val="sr-Cyrl-CS"/>
              </w:rPr>
              <w:t>српски</w:t>
            </w:r>
          </w:p>
        </w:tc>
        <w:tc>
          <w:tcPr>
            <w:tcW w:w="1440" w:type="dxa"/>
            <w:tcBorders>
              <w:bottom w:val="double" w:sz="4" w:space="0" w:color="auto"/>
            </w:tcBorders>
            <w:vAlign w:val="center"/>
          </w:tcPr>
          <w:p w:rsidR="00A968D5" w:rsidRPr="008D198D" w:rsidRDefault="00A968D5" w:rsidP="00C61DAF">
            <w:pPr>
              <w:jc w:val="center"/>
              <w:rPr>
                <w:lang w:val="sr-Cyrl-CS"/>
              </w:rPr>
            </w:pPr>
            <w:r w:rsidRPr="008D198D">
              <w:rPr>
                <w:lang w:val="sr-Cyrl-CS"/>
              </w:rPr>
              <w:t>Језик националне</w:t>
            </w:r>
          </w:p>
          <w:p w:rsidR="00A968D5" w:rsidRPr="008D198D" w:rsidRDefault="00A968D5" w:rsidP="00C61DAF">
            <w:pPr>
              <w:jc w:val="center"/>
              <w:rPr>
                <w:lang w:val="sr-Cyrl-CS"/>
              </w:rPr>
            </w:pPr>
            <w:r w:rsidRPr="008D198D">
              <w:rPr>
                <w:lang w:val="sr-Cyrl-CS"/>
              </w:rPr>
              <w:t>мањине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vAlign w:val="center"/>
          </w:tcPr>
          <w:p w:rsidR="00A968D5" w:rsidRPr="008D198D" w:rsidRDefault="00A968D5" w:rsidP="00C61DAF">
            <w:pPr>
              <w:jc w:val="center"/>
              <w:rPr>
                <w:lang w:val="sr-Cyrl-CS"/>
              </w:rPr>
            </w:pPr>
            <w:r w:rsidRPr="008D198D">
              <w:rPr>
                <w:lang w:val="sr-Cyrl-CS"/>
              </w:rPr>
              <w:t>укупно</w:t>
            </w:r>
          </w:p>
        </w:tc>
        <w:tc>
          <w:tcPr>
            <w:tcW w:w="1620" w:type="dxa"/>
            <w:tcBorders>
              <w:bottom w:val="double" w:sz="4" w:space="0" w:color="auto"/>
              <w:right w:val="thickThinSmallGap" w:sz="24" w:space="0" w:color="auto"/>
            </w:tcBorders>
            <w:vAlign w:val="center"/>
          </w:tcPr>
          <w:p w:rsidR="00A968D5" w:rsidRPr="008D198D" w:rsidRDefault="00A968D5" w:rsidP="00C61DAF">
            <w:pPr>
              <w:jc w:val="center"/>
              <w:rPr>
                <w:lang w:val="sr-Cyrl-CS"/>
              </w:rPr>
            </w:pPr>
            <w:r w:rsidRPr="008D198D">
              <w:rPr>
                <w:lang w:val="sr-Cyrl-CS"/>
              </w:rPr>
              <w:t>Реализација уписа</w:t>
            </w:r>
          </w:p>
        </w:tc>
      </w:tr>
      <w:tr w:rsidR="00A968D5" w:rsidRPr="00933BBE" w:rsidTr="00C61DAF">
        <w:trPr>
          <w:cantSplit/>
          <w:trHeight w:val="582"/>
        </w:trPr>
        <w:tc>
          <w:tcPr>
            <w:tcW w:w="1980" w:type="dxa"/>
            <w:tcBorders>
              <w:top w:val="double" w:sz="4" w:space="0" w:color="auto"/>
              <w:left w:val="thinThickSmallGap" w:sz="24" w:space="0" w:color="auto"/>
              <w:bottom w:val="single" w:sz="4" w:space="0" w:color="auto"/>
            </w:tcBorders>
            <w:vAlign w:val="center"/>
          </w:tcPr>
          <w:p w:rsidR="00A968D5" w:rsidRPr="00933BBE" w:rsidRDefault="00A968D5" w:rsidP="00C61DAF">
            <w:pPr>
              <w:jc w:val="center"/>
              <w:rPr>
                <w:lang w:val="sr-Cyrl-CS"/>
              </w:rPr>
            </w:pPr>
          </w:p>
          <w:p w:rsidR="00A968D5" w:rsidRPr="00933BBE" w:rsidRDefault="00A968D5" w:rsidP="00C61DAF">
            <w:pPr>
              <w:jc w:val="center"/>
              <w:rPr>
                <w:lang w:val="sr-Cyrl-CS"/>
              </w:rPr>
            </w:pPr>
            <w:r w:rsidRPr="00933BBE">
              <w:rPr>
                <w:lang w:val="sr-Cyrl-CS"/>
              </w:rPr>
              <w:t>Гимназија</w:t>
            </w:r>
          </w:p>
          <w:p w:rsidR="00A968D5" w:rsidRPr="00933BBE" w:rsidRDefault="00A968D5" w:rsidP="00C61DAF">
            <w:pPr>
              <w:jc w:val="center"/>
              <w:rPr>
                <w:lang w:val="sr-Cyrl-CS"/>
              </w:rPr>
            </w:pPr>
          </w:p>
        </w:tc>
        <w:tc>
          <w:tcPr>
            <w:tcW w:w="115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A968D5" w:rsidRPr="00933BBE" w:rsidRDefault="00A968D5" w:rsidP="000B2A5A">
            <w:pPr>
              <w:jc w:val="center"/>
              <w:rPr>
                <w:lang w:val="sr-Cyrl-CS"/>
              </w:rPr>
            </w:pPr>
            <w:r w:rsidRPr="00933BBE">
              <w:rPr>
                <w:lang w:val="sr-Cyrl-CS"/>
              </w:rPr>
              <w:t>3.</w:t>
            </w:r>
            <w:r w:rsidR="000B2A5A">
              <w:rPr>
                <w:lang w:val="sr-Cyrl-CS"/>
              </w:rPr>
              <w:t>659</w:t>
            </w:r>
          </w:p>
        </w:tc>
        <w:tc>
          <w:tcPr>
            <w:tcW w:w="1542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A968D5" w:rsidRPr="00933BBE" w:rsidRDefault="000B2A5A" w:rsidP="00C61DA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548</w:t>
            </w:r>
          </w:p>
        </w:tc>
        <w:tc>
          <w:tcPr>
            <w:tcW w:w="900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968D5" w:rsidRPr="00933BBE" w:rsidRDefault="00A968D5" w:rsidP="000B2A5A">
            <w:pPr>
              <w:jc w:val="center"/>
              <w:rPr>
                <w:lang w:val="sr-Cyrl-CS"/>
              </w:rPr>
            </w:pPr>
            <w:r w:rsidRPr="00933BBE">
              <w:rPr>
                <w:lang w:val="sr-Cyrl-CS"/>
              </w:rPr>
              <w:t>4.</w:t>
            </w:r>
            <w:r>
              <w:rPr>
                <w:lang w:val="sr-Cyrl-CS"/>
              </w:rPr>
              <w:t>20</w:t>
            </w:r>
            <w:r w:rsidR="000B2A5A">
              <w:rPr>
                <w:lang w:val="sr-Cyrl-CS"/>
              </w:rPr>
              <w:t>7</w:t>
            </w:r>
          </w:p>
        </w:tc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A968D5" w:rsidRPr="00933BBE" w:rsidRDefault="00A968D5" w:rsidP="000B2A5A">
            <w:pPr>
              <w:jc w:val="center"/>
            </w:pPr>
            <w:r w:rsidRPr="00933BBE">
              <w:rPr>
                <w:lang w:val="sr-Cyrl-CS"/>
              </w:rPr>
              <w:t>3.</w:t>
            </w:r>
            <w:r>
              <w:rPr>
                <w:lang w:val="sr-Cyrl-CS"/>
              </w:rPr>
              <w:t>3</w:t>
            </w:r>
            <w:r w:rsidR="000B2A5A">
              <w:rPr>
                <w:lang w:val="sr-Cyrl-CS"/>
              </w:rPr>
              <w:t>15</w:t>
            </w:r>
          </w:p>
        </w:tc>
        <w:tc>
          <w:tcPr>
            <w:tcW w:w="144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A968D5" w:rsidRPr="00933BBE" w:rsidRDefault="00A968D5" w:rsidP="000B2A5A">
            <w:pPr>
              <w:jc w:val="center"/>
            </w:pPr>
            <w:r>
              <w:rPr>
                <w:lang w:val="sr-Cyrl-CS"/>
              </w:rPr>
              <w:t>42</w:t>
            </w:r>
            <w:r w:rsidR="000B2A5A">
              <w:rPr>
                <w:lang w:val="sr-Cyrl-CS"/>
              </w:rPr>
              <w:t>0</w:t>
            </w:r>
          </w:p>
        </w:tc>
        <w:tc>
          <w:tcPr>
            <w:tcW w:w="108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A968D5" w:rsidRPr="00933BBE" w:rsidRDefault="00A968D5" w:rsidP="000B2A5A">
            <w:pPr>
              <w:jc w:val="center"/>
            </w:pPr>
            <w:r>
              <w:rPr>
                <w:lang w:val="sr-Cyrl-CS"/>
              </w:rPr>
              <w:t>3</w:t>
            </w:r>
            <w:r w:rsidRPr="00933BBE">
              <w:rPr>
                <w:lang w:val="sr-Cyrl-CS"/>
              </w:rPr>
              <w:t>.</w:t>
            </w:r>
            <w:r w:rsidR="000B2A5A">
              <w:rPr>
                <w:lang w:val="sr-Cyrl-CS"/>
              </w:rPr>
              <w:t>735</w:t>
            </w:r>
          </w:p>
        </w:tc>
        <w:tc>
          <w:tcPr>
            <w:tcW w:w="1620" w:type="dxa"/>
            <w:tcBorders>
              <w:top w:val="doub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A968D5" w:rsidRPr="00933BBE" w:rsidRDefault="000B2A5A" w:rsidP="000B2A5A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88</w:t>
            </w:r>
            <w:r w:rsidR="00A968D5" w:rsidRPr="00933BBE">
              <w:rPr>
                <w:lang w:val="sr-Cyrl-CS"/>
              </w:rPr>
              <w:t>,</w:t>
            </w:r>
            <w:r>
              <w:rPr>
                <w:lang w:val="sr-Cyrl-CS"/>
              </w:rPr>
              <w:t>78</w:t>
            </w:r>
            <w:r w:rsidR="00A968D5" w:rsidRPr="00933BBE">
              <w:rPr>
                <w:lang w:val="sr-Cyrl-CS"/>
              </w:rPr>
              <w:t>%</w:t>
            </w:r>
          </w:p>
        </w:tc>
      </w:tr>
      <w:tr w:rsidR="00A968D5" w:rsidRPr="00933BBE" w:rsidTr="00C61DAF">
        <w:tc>
          <w:tcPr>
            <w:tcW w:w="1980" w:type="dxa"/>
            <w:tcBorders>
              <w:top w:val="single" w:sz="4" w:space="0" w:color="auto"/>
              <w:left w:val="thinThickSmallGap" w:sz="24" w:space="0" w:color="auto"/>
            </w:tcBorders>
            <w:vAlign w:val="center"/>
          </w:tcPr>
          <w:p w:rsidR="00A968D5" w:rsidRPr="00933BBE" w:rsidRDefault="00A968D5" w:rsidP="00C61DAF">
            <w:pPr>
              <w:jc w:val="center"/>
              <w:rPr>
                <w:lang w:val="sr-Cyrl-CS"/>
              </w:rPr>
            </w:pPr>
            <w:r w:rsidRPr="00933BBE">
              <w:rPr>
                <w:lang w:val="sr-Cyrl-CS"/>
              </w:rPr>
              <w:t>Пољопривреда, производња и прерада хране</w:t>
            </w:r>
          </w:p>
        </w:tc>
        <w:tc>
          <w:tcPr>
            <w:tcW w:w="1158" w:type="dxa"/>
            <w:tcBorders>
              <w:top w:val="single" w:sz="4" w:space="0" w:color="auto"/>
            </w:tcBorders>
            <w:vAlign w:val="center"/>
          </w:tcPr>
          <w:p w:rsidR="00A968D5" w:rsidRPr="00933BBE" w:rsidRDefault="00A968D5" w:rsidP="000B2A5A">
            <w:pPr>
              <w:jc w:val="center"/>
            </w:pPr>
            <w:r w:rsidRPr="00933BBE">
              <w:rPr>
                <w:lang w:val="sr-Cyrl-CS"/>
              </w:rPr>
              <w:t>1.</w:t>
            </w:r>
            <w:r w:rsidR="000B2A5A">
              <w:rPr>
                <w:lang w:val="sr-Cyrl-CS"/>
              </w:rPr>
              <w:t>220</w:t>
            </w:r>
          </w:p>
        </w:tc>
        <w:tc>
          <w:tcPr>
            <w:tcW w:w="1542" w:type="dxa"/>
            <w:tcBorders>
              <w:top w:val="single" w:sz="4" w:space="0" w:color="auto"/>
            </w:tcBorders>
            <w:vAlign w:val="center"/>
          </w:tcPr>
          <w:p w:rsidR="00A968D5" w:rsidRPr="00933BBE" w:rsidRDefault="00A968D5" w:rsidP="000B2A5A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</w:t>
            </w:r>
            <w:r w:rsidR="000B2A5A">
              <w:rPr>
                <w:lang w:val="sr-Cyrl-CS"/>
              </w:rPr>
              <w:t>30</w:t>
            </w:r>
          </w:p>
        </w:tc>
        <w:tc>
          <w:tcPr>
            <w:tcW w:w="900" w:type="dxa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:rsidR="00A968D5" w:rsidRPr="00933BBE" w:rsidRDefault="00A968D5" w:rsidP="000B2A5A">
            <w:pPr>
              <w:jc w:val="center"/>
              <w:rPr>
                <w:lang w:val="sr-Cyrl-CS"/>
              </w:rPr>
            </w:pPr>
            <w:r w:rsidRPr="00933BBE">
              <w:rPr>
                <w:lang w:val="sr-Cyrl-CS"/>
              </w:rPr>
              <w:t>1.</w:t>
            </w:r>
            <w:r w:rsidR="000B2A5A">
              <w:rPr>
                <w:lang w:val="sr-Cyrl-CS"/>
              </w:rPr>
              <w:t>450</w:t>
            </w:r>
          </w:p>
        </w:tc>
        <w:tc>
          <w:tcPr>
            <w:tcW w:w="1080" w:type="dxa"/>
            <w:tcBorders>
              <w:top w:val="single" w:sz="4" w:space="0" w:color="auto"/>
              <w:left w:val="double" w:sz="4" w:space="0" w:color="auto"/>
            </w:tcBorders>
            <w:vAlign w:val="center"/>
          </w:tcPr>
          <w:p w:rsidR="00A968D5" w:rsidRPr="00933BBE" w:rsidRDefault="000B2A5A" w:rsidP="00C61DA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897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A968D5" w:rsidRPr="00076FEE" w:rsidRDefault="000B2A5A" w:rsidP="00C61DA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163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:rsidR="00A968D5" w:rsidRPr="00933BBE" w:rsidRDefault="00A968D5" w:rsidP="000B2A5A">
            <w:pPr>
              <w:jc w:val="center"/>
              <w:rPr>
                <w:lang w:val="sr-Cyrl-CS"/>
              </w:rPr>
            </w:pPr>
            <w:r w:rsidRPr="00933BBE">
              <w:rPr>
                <w:lang w:val="sr-Cyrl-CS"/>
              </w:rPr>
              <w:t>1.</w:t>
            </w:r>
            <w:r w:rsidR="000B2A5A">
              <w:rPr>
                <w:lang w:val="sr-Cyrl-CS"/>
              </w:rPr>
              <w:t>060</w:t>
            </w:r>
          </w:p>
        </w:tc>
        <w:tc>
          <w:tcPr>
            <w:tcW w:w="1620" w:type="dxa"/>
            <w:tcBorders>
              <w:top w:val="single" w:sz="4" w:space="0" w:color="auto"/>
              <w:right w:val="thickThinSmallGap" w:sz="24" w:space="0" w:color="auto"/>
            </w:tcBorders>
            <w:vAlign w:val="center"/>
          </w:tcPr>
          <w:p w:rsidR="00A968D5" w:rsidRPr="00933BBE" w:rsidRDefault="00A968D5" w:rsidP="000B2A5A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73</w:t>
            </w:r>
            <w:r w:rsidRPr="00933BBE">
              <w:rPr>
                <w:lang w:val="sr-Cyrl-CS"/>
              </w:rPr>
              <w:t>,</w:t>
            </w:r>
            <w:r w:rsidR="000B2A5A">
              <w:rPr>
                <w:lang w:val="sr-Cyrl-CS"/>
              </w:rPr>
              <w:t>10</w:t>
            </w:r>
            <w:r w:rsidRPr="00933BBE">
              <w:rPr>
                <w:lang w:val="sr-Cyrl-CS"/>
              </w:rPr>
              <w:t>%</w:t>
            </w:r>
          </w:p>
        </w:tc>
      </w:tr>
      <w:tr w:rsidR="00A968D5" w:rsidRPr="00933BBE" w:rsidTr="00C61DAF">
        <w:tc>
          <w:tcPr>
            <w:tcW w:w="1980" w:type="dxa"/>
            <w:tcBorders>
              <w:left w:val="thinThickSmallGap" w:sz="24" w:space="0" w:color="auto"/>
            </w:tcBorders>
            <w:vAlign w:val="center"/>
          </w:tcPr>
          <w:p w:rsidR="00A968D5" w:rsidRPr="00933BBE" w:rsidRDefault="00A968D5" w:rsidP="00C61DAF">
            <w:pPr>
              <w:jc w:val="center"/>
              <w:rPr>
                <w:lang w:val="sr-Cyrl-CS"/>
              </w:rPr>
            </w:pPr>
            <w:r w:rsidRPr="00933BBE">
              <w:rPr>
                <w:lang w:val="sr-Cyrl-CS"/>
              </w:rPr>
              <w:t>Шумарство и обрада дрвета</w:t>
            </w:r>
          </w:p>
        </w:tc>
        <w:tc>
          <w:tcPr>
            <w:tcW w:w="1158" w:type="dxa"/>
            <w:vAlign w:val="center"/>
          </w:tcPr>
          <w:p w:rsidR="00A968D5" w:rsidRPr="009A1C5A" w:rsidRDefault="00A968D5" w:rsidP="000B2A5A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3</w:t>
            </w:r>
            <w:r w:rsidR="000B2A5A">
              <w:rPr>
                <w:lang w:val="sr-Cyrl-CS"/>
              </w:rPr>
              <w:t>0</w:t>
            </w:r>
            <w:r>
              <w:rPr>
                <w:lang w:val="sr-Cyrl-CS"/>
              </w:rPr>
              <w:t>0</w:t>
            </w:r>
          </w:p>
        </w:tc>
        <w:tc>
          <w:tcPr>
            <w:tcW w:w="1542" w:type="dxa"/>
            <w:vAlign w:val="center"/>
          </w:tcPr>
          <w:p w:rsidR="00A968D5" w:rsidRPr="00933BBE" w:rsidRDefault="00A968D5" w:rsidP="00C61DAF">
            <w:pPr>
              <w:jc w:val="center"/>
              <w:rPr>
                <w:lang w:val="sr-Cyrl-CS"/>
              </w:rPr>
            </w:pPr>
          </w:p>
        </w:tc>
        <w:tc>
          <w:tcPr>
            <w:tcW w:w="900" w:type="dxa"/>
            <w:tcBorders>
              <w:right w:val="double" w:sz="4" w:space="0" w:color="auto"/>
            </w:tcBorders>
            <w:vAlign w:val="center"/>
          </w:tcPr>
          <w:p w:rsidR="00A968D5" w:rsidRPr="00933BBE" w:rsidRDefault="00A968D5" w:rsidP="000B2A5A">
            <w:pPr>
              <w:jc w:val="center"/>
              <w:rPr>
                <w:lang w:val="sr-Cyrl-CS"/>
              </w:rPr>
            </w:pPr>
            <w:r w:rsidRPr="00933BBE">
              <w:rPr>
                <w:lang w:val="sr-Cyrl-CS"/>
              </w:rPr>
              <w:t>3</w:t>
            </w:r>
            <w:r w:rsidR="000B2A5A">
              <w:rPr>
                <w:lang w:val="sr-Cyrl-CS"/>
              </w:rPr>
              <w:t>0</w:t>
            </w:r>
            <w:r>
              <w:rPr>
                <w:lang w:val="sr-Cyrl-CS"/>
              </w:rPr>
              <w:t>0</w:t>
            </w:r>
          </w:p>
        </w:tc>
        <w:tc>
          <w:tcPr>
            <w:tcW w:w="1080" w:type="dxa"/>
            <w:tcBorders>
              <w:left w:val="double" w:sz="4" w:space="0" w:color="auto"/>
            </w:tcBorders>
            <w:vAlign w:val="center"/>
          </w:tcPr>
          <w:p w:rsidR="00A968D5" w:rsidRPr="00933BBE" w:rsidRDefault="00A968D5" w:rsidP="000B2A5A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</w:t>
            </w:r>
            <w:r w:rsidR="000B2A5A">
              <w:rPr>
                <w:lang w:val="sr-Cyrl-CS"/>
              </w:rPr>
              <w:t>32</w:t>
            </w:r>
          </w:p>
        </w:tc>
        <w:tc>
          <w:tcPr>
            <w:tcW w:w="1440" w:type="dxa"/>
            <w:vAlign w:val="center"/>
          </w:tcPr>
          <w:p w:rsidR="00A968D5" w:rsidRPr="00933BBE" w:rsidRDefault="00A968D5" w:rsidP="00C61DAF">
            <w:pPr>
              <w:jc w:val="center"/>
              <w:rPr>
                <w:lang w:val="sr-Cyrl-CS"/>
              </w:rPr>
            </w:pPr>
          </w:p>
        </w:tc>
        <w:tc>
          <w:tcPr>
            <w:tcW w:w="1080" w:type="dxa"/>
            <w:vAlign w:val="center"/>
          </w:tcPr>
          <w:p w:rsidR="00A968D5" w:rsidRPr="00933BBE" w:rsidRDefault="00A968D5" w:rsidP="000B2A5A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</w:t>
            </w:r>
            <w:r w:rsidR="000B2A5A">
              <w:rPr>
                <w:lang w:val="sr-Cyrl-CS"/>
              </w:rPr>
              <w:t>32</w:t>
            </w:r>
          </w:p>
        </w:tc>
        <w:tc>
          <w:tcPr>
            <w:tcW w:w="1620" w:type="dxa"/>
            <w:tcBorders>
              <w:right w:val="thickThinSmallGap" w:sz="24" w:space="0" w:color="auto"/>
            </w:tcBorders>
            <w:vAlign w:val="center"/>
          </w:tcPr>
          <w:p w:rsidR="00A968D5" w:rsidRPr="00933BBE" w:rsidRDefault="000B2A5A" w:rsidP="000B2A5A">
            <w:pPr>
              <w:jc w:val="center"/>
              <w:rPr>
                <w:lang w:val="sr-Cyrl-CS"/>
              </w:rPr>
            </w:pPr>
            <w:r>
              <w:rPr>
                <w:lang w:val="sr-Cyrl-RS"/>
              </w:rPr>
              <w:t>77</w:t>
            </w:r>
            <w:r w:rsidR="00A968D5" w:rsidRPr="00933BBE">
              <w:t>,</w:t>
            </w:r>
            <w:r>
              <w:rPr>
                <w:lang w:val="sr-Cyrl-RS"/>
              </w:rPr>
              <w:t>33</w:t>
            </w:r>
            <w:r w:rsidR="00A968D5" w:rsidRPr="00933BBE">
              <w:rPr>
                <w:lang w:val="sr-Cyrl-CS"/>
              </w:rPr>
              <w:t>%</w:t>
            </w:r>
          </w:p>
        </w:tc>
      </w:tr>
      <w:tr w:rsidR="00A968D5" w:rsidRPr="00933BBE" w:rsidTr="00C61DAF">
        <w:tc>
          <w:tcPr>
            <w:tcW w:w="1980" w:type="dxa"/>
            <w:tcBorders>
              <w:left w:val="thinThickSmallGap" w:sz="24" w:space="0" w:color="auto"/>
            </w:tcBorders>
            <w:vAlign w:val="center"/>
          </w:tcPr>
          <w:p w:rsidR="00A968D5" w:rsidRPr="00933BBE" w:rsidRDefault="00A968D5" w:rsidP="00C61DAF">
            <w:pPr>
              <w:jc w:val="center"/>
              <w:rPr>
                <w:lang w:val="sr-Cyrl-CS"/>
              </w:rPr>
            </w:pPr>
            <w:r w:rsidRPr="00933BBE">
              <w:rPr>
                <w:lang w:val="sr-Cyrl-CS"/>
              </w:rPr>
              <w:t>Машинство и обрада метала</w:t>
            </w:r>
          </w:p>
        </w:tc>
        <w:tc>
          <w:tcPr>
            <w:tcW w:w="1158" w:type="dxa"/>
            <w:vAlign w:val="center"/>
          </w:tcPr>
          <w:p w:rsidR="00A968D5" w:rsidRPr="00933BBE" w:rsidRDefault="00A968D5" w:rsidP="000B2A5A">
            <w:pPr>
              <w:jc w:val="center"/>
            </w:pPr>
            <w:r w:rsidRPr="00933BBE">
              <w:rPr>
                <w:lang w:val="sr-Cyrl-CS"/>
              </w:rPr>
              <w:t>1.</w:t>
            </w:r>
            <w:r w:rsidR="000B2A5A">
              <w:rPr>
                <w:lang w:val="sr-Cyrl-CS"/>
              </w:rPr>
              <w:t>170</w:t>
            </w:r>
          </w:p>
        </w:tc>
        <w:tc>
          <w:tcPr>
            <w:tcW w:w="1542" w:type="dxa"/>
            <w:vAlign w:val="center"/>
          </w:tcPr>
          <w:p w:rsidR="00A968D5" w:rsidRPr="009A1C5A" w:rsidRDefault="00A968D5" w:rsidP="000B2A5A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  <w:r w:rsidR="000B2A5A">
              <w:rPr>
                <w:lang w:val="sr-Cyrl-CS"/>
              </w:rPr>
              <w:t>5</w:t>
            </w:r>
            <w:r>
              <w:rPr>
                <w:lang w:val="sr-Cyrl-CS"/>
              </w:rPr>
              <w:t>0</w:t>
            </w:r>
          </w:p>
        </w:tc>
        <w:tc>
          <w:tcPr>
            <w:tcW w:w="900" w:type="dxa"/>
            <w:tcBorders>
              <w:right w:val="double" w:sz="4" w:space="0" w:color="auto"/>
            </w:tcBorders>
            <w:vAlign w:val="center"/>
          </w:tcPr>
          <w:p w:rsidR="00A968D5" w:rsidRPr="00933BBE" w:rsidRDefault="00A968D5" w:rsidP="000B2A5A">
            <w:pPr>
              <w:jc w:val="center"/>
            </w:pPr>
            <w:r w:rsidRPr="00933BBE">
              <w:rPr>
                <w:lang w:val="sr-Cyrl-CS"/>
              </w:rPr>
              <w:t>1.</w:t>
            </w:r>
            <w:r w:rsidR="000B2A5A">
              <w:rPr>
                <w:lang w:val="sr-Cyrl-CS"/>
              </w:rPr>
              <w:t>320</w:t>
            </w:r>
          </w:p>
        </w:tc>
        <w:tc>
          <w:tcPr>
            <w:tcW w:w="1080" w:type="dxa"/>
            <w:tcBorders>
              <w:left w:val="double" w:sz="4" w:space="0" w:color="auto"/>
            </w:tcBorders>
            <w:vAlign w:val="center"/>
          </w:tcPr>
          <w:p w:rsidR="00A968D5" w:rsidRPr="00D73666" w:rsidRDefault="000B2A5A" w:rsidP="00C61DA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860</w:t>
            </w:r>
          </w:p>
        </w:tc>
        <w:tc>
          <w:tcPr>
            <w:tcW w:w="1440" w:type="dxa"/>
            <w:vAlign w:val="center"/>
          </w:tcPr>
          <w:p w:rsidR="00A968D5" w:rsidRPr="00933BBE" w:rsidRDefault="00A968D5" w:rsidP="000B2A5A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  <w:r w:rsidR="000B2A5A">
              <w:rPr>
                <w:lang w:val="sr-Cyrl-CS"/>
              </w:rPr>
              <w:t>09</w:t>
            </w:r>
          </w:p>
        </w:tc>
        <w:tc>
          <w:tcPr>
            <w:tcW w:w="1080" w:type="dxa"/>
            <w:vAlign w:val="center"/>
          </w:tcPr>
          <w:p w:rsidR="00A968D5" w:rsidRPr="00933BBE" w:rsidRDefault="000B2A5A" w:rsidP="000B2A5A">
            <w:pPr>
              <w:jc w:val="center"/>
            </w:pPr>
            <w:r>
              <w:rPr>
                <w:lang w:val="sr-Cyrl-CS"/>
              </w:rPr>
              <w:t>969</w:t>
            </w:r>
          </w:p>
        </w:tc>
        <w:tc>
          <w:tcPr>
            <w:tcW w:w="1620" w:type="dxa"/>
            <w:tcBorders>
              <w:right w:val="thickThinSmallGap" w:sz="24" w:space="0" w:color="auto"/>
            </w:tcBorders>
            <w:vAlign w:val="center"/>
          </w:tcPr>
          <w:p w:rsidR="00A968D5" w:rsidRPr="00933BBE" w:rsidRDefault="00A968D5" w:rsidP="000B2A5A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7</w:t>
            </w:r>
            <w:r w:rsidR="000B2A5A">
              <w:rPr>
                <w:lang w:val="sr-Cyrl-CS"/>
              </w:rPr>
              <w:t>3</w:t>
            </w:r>
            <w:r w:rsidRPr="00933BBE">
              <w:rPr>
                <w:lang w:val="sr-Cyrl-CS"/>
              </w:rPr>
              <w:t>,</w:t>
            </w:r>
            <w:r w:rsidR="000B2A5A">
              <w:rPr>
                <w:lang w:val="sr-Cyrl-CS"/>
              </w:rPr>
              <w:t>41</w:t>
            </w:r>
            <w:r w:rsidRPr="00933BBE">
              <w:rPr>
                <w:lang w:val="sr-Cyrl-CS"/>
              </w:rPr>
              <w:t>%</w:t>
            </w:r>
          </w:p>
        </w:tc>
      </w:tr>
      <w:tr w:rsidR="00A968D5" w:rsidRPr="00933BBE" w:rsidTr="00C61DAF">
        <w:tc>
          <w:tcPr>
            <w:tcW w:w="1980" w:type="dxa"/>
            <w:tcBorders>
              <w:left w:val="thinThickSmallGap" w:sz="24" w:space="0" w:color="auto"/>
            </w:tcBorders>
            <w:vAlign w:val="center"/>
          </w:tcPr>
          <w:p w:rsidR="00A968D5" w:rsidRPr="00933BBE" w:rsidRDefault="00A968D5" w:rsidP="00C61DAF">
            <w:pPr>
              <w:jc w:val="center"/>
              <w:rPr>
                <w:lang w:val="sr-Cyrl-CS"/>
              </w:rPr>
            </w:pPr>
            <w:r w:rsidRPr="00933BBE">
              <w:rPr>
                <w:lang w:val="sr-Cyrl-CS"/>
              </w:rPr>
              <w:t>Електротехника</w:t>
            </w:r>
          </w:p>
          <w:p w:rsidR="00A968D5" w:rsidRPr="00933BBE" w:rsidRDefault="00A968D5" w:rsidP="00C61DAF">
            <w:pPr>
              <w:jc w:val="center"/>
              <w:rPr>
                <w:lang w:val="sr-Cyrl-CS"/>
              </w:rPr>
            </w:pPr>
          </w:p>
        </w:tc>
        <w:tc>
          <w:tcPr>
            <w:tcW w:w="1158" w:type="dxa"/>
            <w:vAlign w:val="center"/>
          </w:tcPr>
          <w:p w:rsidR="00A968D5" w:rsidRPr="00933BBE" w:rsidRDefault="00A968D5" w:rsidP="000B2A5A">
            <w:pPr>
              <w:jc w:val="center"/>
            </w:pPr>
            <w:r w:rsidRPr="00933BBE">
              <w:rPr>
                <w:lang w:val="sr-Cyrl-CS"/>
              </w:rPr>
              <w:t>1.</w:t>
            </w:r>
            <w:r w:rsidR="000B2A5A">
              <w:rPr>
                <w:lang w:val="sr-Cyrl-CS"/>
              </w:rPr>
              <w:t>556</w:t>
            </w:r>
          </w:p>
        </w:tc>
        <w:tc>
          <w:tcPr>
            <w:tcW w:w="1542" w:type="dxa"/>
            <w:vAlign w:val="center"/>
          </w:tcPr>
          <w:p w:rsidR="00A968D5" w:rsidRPr="00933BBE" w:rsidRDefault="00A968D5" w:rsidP="000B2A5A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</w:t>
            </w:r>
            <w:r w:rsidR="000B2A5A">
              <w:rPr>
                <w:lang w:val="sr-Cyrl-CS"/>
              </w:rPr>
              <w:t>34</w:t>
            </w:r>
          </w:p>
        </w:tc>
        <w:tc>
          <w:tcPr>
            <w:tcW w:w="900" w:type="dxa"/>
            <w:tcBorders>
              <w:right w:val="double" w:sz="4" w:space="0" w:color="auto"/>
            </w:tcBorders>
            <w:vAlign w:val="center"/>
          </w:tcPr>
          <w:p w:rsidR="00A968D5" w:rsidRPr="00933BBE" w:rsidRDefault="00A968D5" w:rsidP="000B2A5A">
            <w:pPr>
              <w:jc w:val="center"/>
            </w:pPr>
            <w:r w:rsidRPr="00933BBE">
              <w:rPr>
                <w:lang w:val="sr-Cyrl-CS"/>
              </w:rPr>
              <w:t>1.</w:t>
            </w:r>
            <w:r w:rsidR="000B2A5A">
              <w:rPr>
                <w:lang w:val="sr-Cyrl-CS"/>
              </w:rPr>
              <w:t>790</w:t>
            </w:r>
          </w:p>
        </w:tc>
        <w:tc>
          <w:tcPr>
            <w:tcW w:w="1080" w:type="dxa"/>
            <w:tcBorders>
              <w:left w:val="double" w:sz="4" w:space="0" w:color="auto"/>
            </w:tcBorders>
            <w:vAlign w:val="center"/>
          </w:tcPr>
          <w:p w:rsidR="00A968D5" w:rsidRPr="00933BBE" w:rsidRDefault="00A968D5" w:rsidP="000B2A5A">
            <w:pPr>
              <w:jc w:val="center"/>
            </w:pPr>
            <w:r w:rsidRPr="00933BBE">
              <w:rPr>
                <w:lang w:val="sr-Cyrl-CS"/>
              </w:rPr>
              <w:t>1.</w:t>
            </w:r>
            <w:r w:rsidR="000B2A5A">
              <w:rPr>
                <w:lang w:val="sr-Cyrl-CS"/>
              </w:rPr>
              <w:t>402</w:t>
            </w:r>
          </w:p>
        </w:tc>
        <w:tc>
          <w:tcPr>
            <w:tcW w:w="1440" w:type="dxa"/>
            <w:vAlign w:val="center"/>
          </w:tcPr>
          <w:p w:rsidR="00A968D5" w:rsidRPr="00933BBE" w:rsidRDefault="00A968D5" w:rsidP="000B2A5A">
            <w:pPr>
              <w:jc w:val="center"/>
            </w:pPr>
            <w:r w:rsidRPr="00933BBE">
              <w:rPr>
                <w:lang w:val="sr-Cyrl-CS"/>
              </w:rPr>
              <w:t>1</w:t>
            </w:r>
            <w:r>
              <w:rPr>
                <w:lang w:val="sr-Cyrl-CS"/>
              </w:rPr>
              <w:t>7</w:t>
            </w:r>
            <w:r w:rsidR="000B2A5A">
              <w:rPr>
                <w:lang w:val="sr-Cyrl-CS"/>
              </w:rPr>
              <w:t>0</w:t>
            </w:r>
          </w:p>
        </w:tc>
        <w:tc>
          <w:tcPr>
            <w:tcW w:w="1080" w:type="dxa"/>
            <w:vAlign w:val="center"/>
          </w:tcPr>
          <w:p w:rsidR="00A968D5" w:rsidRPr="00933BBE" w:rsidRDefault="00A968D5" w:rsidP="000B2A5A">
            <w:pPr>
              <w:jc w:val="center"/>
            </w:pPr>
            <w:r w:rsidRPr="00933BBE">
              <w:rPr>
                <w:lang w:val="sr-Cyrl-CS"/>
              </w:rPr>
              <w:t>1.</w:t>
            </w:r>
            <w:r w:rsidR="000B2A5A">
              <w:rPr>
                <w:lang w:val="sr-Cyrl-CS"/>
              </w:rPr>
              <w:t>572</w:t>
            </w:r>
          </w:p>
        </w:tc>
        <w:tc>
          <w:tcPr>
            <w:tcW w:w="1620" w:type="dxa"/>
            <w:tcBorders>
              <w:right w:val="thickThinSmallGap" w:sz="24" w:space="0" w:color="auto"/>
            </w:tcBorders>
            <w:vAlign w:val="center"/>
          </w:tcPr>
          <w:p w:rsidR="00A968D5" w:rsidRPr="00933BBE" w:rsidRDefault="00A968D5" w:rsidP="000B2A5A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8</w:t>
            </w:r>
            <w:r w:rsidR="000B2A5A">
              <w:rPr>
                <w:lang w:val="sr-Cyrl-CS"/>
              </w:rPr>
              <w:t>7</w:t>
            </w:r>
            <w:r w:rsidRPr="00933BBE">
              <w:rPr>
                <w:lang w:val="sr-Cyrl-CS"/>
              </w:rPr>
              <w:t>,</w:t>
            </w:r>
            <w:r>
              <w:rPr>
                <w:lang w:val="sr-Cyrl-CS"/>
              </w:rPr>
              <w:t>8</w:t>
            </w:r>
            <w:r w:rsidR="000B2A5A">
              <w:rPr>
                <w:lang w:val="sr-Cyrl-CS"/>
              </w:rPr>
              <w:t>2</w:t>
            </w:r>
            <w:r w:rsidRPr="00933BBE">
              <w:rPr>
                <w:lang w:val="sr-Cyrl-CS"/>
              </w:rPr>
              <w:t>%</w:t>
            </w:r>
          </w:p>
        </w:tc>
      </w:tr>
      <w:tr w:rsidR="00A968D5" w:rsidRPr="00933BBE" w:rsidTr="00C61DAF">
        <w:tc>
          <w:tcPr>
            <w:tcW w:w="1980" w:type="dxa"/>
            <w:tcBorders>
              <w:left w:val="thinThickSmallGap" w:sz="24" w:space="0" w:color="auto"/>
            </w:tcBorders>
            <w:vAlign w:val="center"/>
          </w:tcPr>
          <w:p w:rsidR="00A968D5" w:rsidRPr="00933BBE" w:rsidRDefault="00A968D5" w:rsidP="00C61DAF">
            <w:pPr>
              <w:jc w:val="center"/>
              <w:rPr>
                <w:lang w:val="sr-Cyrl-CS"/>
              </w:rPr>
            </w:pPr>
            <w:r w:rsidRPr="00933BBE">
              <w:rPr>
                <w:lang w:val="sr-Cyrl-CS"/>
              </w:rPr>
              <w:t>Хемија,неметали и графичарство</w:t>
            </w:r>
          </w:p>
        </w:tc>
        <w:tc>
          <w:tcPr>
            <w:tcW w:w="1158" w:type="dxa"/>
            <w:vAlign w:val="center"/>
          </w:tcPr>
          <w:p w:rsidR="00A968D5" w:rsidRPr="00D73666" w:rsidRDefault="00A968D5" w:rsidP="000B2A5A">
            <w:pPr>
              <w:jc w:val="center"/>
              <w:rPr>
                <w:lang w:val="sr-Cyrl-RS"/>
              </w:rPr>
            </w:pPr>
            <w:r w:rsidRPr="00933BBE">
              <w:t>1.</w:t>
            </w:r>
            <w:r w:rsidR="000B2A5A">
              <w:rPr>
                <w:lang w:val="sr-Cyrl-RS"/>
              </w:rPr>
              <w:t>104</w:t>
            </w:r>
          </w:p>
        </w:tc>
        <w:tc>
          <w:tcPr>
            <w:tcW w:w="1542" w:type="dxa"/>
            <w:vAlign w:val="center"/>
          </w:tcPr>
          <w:p w:rsidR="00A968D5" w:rsidRPr="00933BBE" w:rsidRDefault="000B2A5A" w:rsidP="000B2A5A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90</w:t>
            </w:r>
          </w:p>
        </w:tc>
        <w:tc>
          <w:tcPr>
            <w:tcW w:w="900" w:type="dxa"/>
            <w:tcBorders>
              <w:right w:val="double" w:sz="4" w:space="0" w:color="auto"/>
            </w:tcBorders>
            <w:vAlign w:val="center"/>
          </w:tcPr>
          <w:p w:rsidR="00A968D5" w:rsidRPr="000B2A5A" w:rsidRDefault="00A968D5" w:rsidP="000B2A5A">
            <w:pPr>
              <w:jc w:val="center"/>
              <w:rPr>
                <w:lang w:val="sr-Cyrl-RS"/>
              </w:rPr>
            </w:pPr>
            <w:r w:rsidRPr="00933BBE">
              <w:t>1.</w:t>
            </w:r>
            <w:r w:rsidR="000B2A5A">
              <w:rPr>
                <w:lang w:val="sr-Cyrl-RS"/>
              </w:rPr>
              <w:t>194</w:t>
            </w:r>
          </w:p>
        </w:tc>
        <w:tc>
          <w:tcPr>
            <w:tcW w:w="1080" w:type="dxa"/>
            <w:tcBorders>
              <w:left w:val="double" w:sz="4" w:space="0" w:color="auto"/>
            </w:tcBorders>
            <w:vAlign w:val="center"/>
          </w:tcPr>
          <w:p w:rsidR="00A968D5" w:rsidRPr="00933BBE" w:rsidRDefault="000B2A5A" w:rsidP="000B2A5A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772</w:t>
            </w:r>
          </w:p>
        </w:tc>
        <w:tc>
          <w:tcPr>
            <w:tcW w:w="1440" w:type="dxa"/>
            <w:vAlign w:val="center"/>
          </w:tcPr>
          <w:p w:rsidR="00A968D5" w:rsidRPr="00933BBE" w:rsidRDefault="000B2A5A" w:rsidP="00C61DA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39</w:t>
            </w:r>
          </w:p>
        </w:tc>
        <w:tc>
          <w:tcPr>
            <w:tcW w:w="1080" w:type="dxa"/>
            <w:vAlign w:val="center"/>
          </w:tcPr>
          <w:p w:rsidR="00A968D5" w:rsidRPr="00933BBE" w:rsidRDefault="000B2A5A" w:rsidP="00C61DA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811</w:t>
            </w:r>
          </w:p>
        </w:tc>
        <w:tc>
          <w:tcPr>
            <w:tcW w:w="1620" w:type="dxa"/>
            <w:tcBorders>
              <w:right w:val="thickThinSmallGap" w:sz="24" w:space="0" w:color="auto"/>
            </w:tcBorders>
            <w:vAlign w:val="center"/>
          </w:tcPr>
          <w:p w:rsidR="00A968D5" w:rsidRPr="00933BBE" w:rsidRDefault="000B2A5A" w:rsidP="000B2A5A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67</w:t>
            </w:r>
            <w:r w:rsidR="00A968D5" w:rsidRPr="00933BBE">
              <w:rPr>
                <w:lang w:val="sr-Cyrl-CS"/>
              </w:rPr>
              <w:t>,</w:t>
            </w:r>
            <w:r>
              <w:rPr>
                <w:lang w:val="sr-Cyrl-CS"/>
              </w:rPr>
              <w:t>92</w:t>
            </w:r>
            <w:r w:rsidR="00A968D5" w:rsidRPr="00933BBE">
              <w:rPr>
                <w:lang w:val="sr-Cyrl-CS"/>
              </w:rPr>
              <w:t>%</w:t>
            </w:r>
          </w:p>
        </w:tc>
      </w:tr>
      <w:tr w:rsidR="00A968D5" w:rsidRPr="00933BBE" w:rsidTr="00C61DAF">
        <w:tc>
          <w:tcPr>
            <w:tcW w:w="1980" w:type="dxa"/>
            <w:tcBorders>
              <w:left w:val="thinThickSmallGap" w:sz="24" w:space="0" w:color="auto"/>
            </w:tcBorders>
            <w:vAlign w:val="center"/>
          </w:tcPr>
          <w:p w:rsidR="00A968D5" w:rsidRPr="00933BBE" w:rsidRDefault="00A968D5" w:rsidP="00C61DAF">
            <w:pPr>
              <w:jc w:val="center"/>
              <w:rPr>
                <w:lang w:val="sr-Cyrl-CS"/>
              </w:rPr>
            </w:pPr>
            <w:r w:rsidRPr="00933BBE">
              <w:rPr>
                <w:lang w:val="sr-Cyrl-CS"/>
              </w:rPr>
              <w:t>Текстилство и кожарство</w:t>
            </w:r>
          </w:p>
        </w:tc>
        <w:tc>
          <w:tcPr>
            <w:tcW w:w="1158" w:type="dxa"/>
            <w:vAlign w:val="center"/>
          </w:tcPr>
          <w:p w:rsidR="00A968D5" w:rsidRPr="00933BBE" w:rsidRDefault="000B2A5A" w:rsidP="00C61DA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244</w:t>
            </w:r>
          </w:p>
        </w:tc>
        <w:tc>
          <w:tcPr>
            <w:tcW w:w="1542" w:type="dxa"/>
            <w:vAlign w:val="center"/>
          </w:tcPr>
          <w:p w:rsidR="00A968D5" w:rsidRPr="00933BBE" w:rsidRDefault="00A968D5" w:rsidP="00C61DAF">
            <w:pPr>
              <w:jc w:val="center"/>
              <w:rPr>
                <w:lang w:val="sr-Cyrl-CS"/>
              </w:rPr>
            </w:pPr>
          </w:p>
        </w:tc>
        <w:tc>
          <w:tcPr>
            <w:tcW w:w="900" w:type="dxa"/>
            <w:tcBorders>
              <w:right w:val="double" w:sz="4" w:space="0" w:color="auto"/>
            </w:tcBorders>
            <w:vAlign w:val="center"/>
          </w:tcPr>
          <w:p w:rsidR="00A968D5" w:rsidRPr="00933BBE" w:rsidRDefault="000B2A5A" w:rsidP="00C61DA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244</w:t>
            </w:r>
          </w:p>
        </w:tc>
        <w:tc>
          <w:tcPr>
            <w:tcW w:w="1080" w:type="dxa"/>
            <w:tcBorders>
              <w:left w:val="double" w:sz="4" w:space="0" w:color="auto"/>
            </w:tcBorders>
            <w:vAlign w:val="center"/>
          </w:tcPr>
          <w:p w:rsidR="00A968D5" w:rsidRPr="00933BBE" w:rsidRDefault="00A968D5" w:rsidP="000B2A5A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  <w:r w:rsidR="000B2A5A">
              <w:rPr>
                <w:lang w:val="sr-Cyrl-CS"/>
              </w:rPr>
              <w:t>35</w:t>
            </w:r>
          </w:p>
        </w:tc>
        <w:tc>
          <w:tcPr>
            <w:tcW w:w="1440" w:type="dxa"/>
            <w:vAlign w:val="center"/>
          </w:tcPr>
          <w:p w:rsidR="00A968D5" w:rsidRPr="00933BBE" w:rsidRDefault="00A968D5" w:rsidP="00C61DAF">
            <w:pPr>
              <w:jc w:val="center"/>
              <w:rPr>
                <w:lang w:val="sr-Cyrl-CS"/>
              </w:rPr>
            </w:pPr>
          </w:p>
        </w:tc>
        <w:tc>
          <w:tcPr>
            <w:tcW w:w="1080" w:type="dxa"/>
            <w:vAlign w:val="center"/>
          </w:tcPr>
          <w:p w:rsidR="00A968D5" w:rsidRPr="00D73666" w:rsidRDefault="00A968D5" w:rsidP="000B2A5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  <w:r w:rsidR="000B2A5A">
              <w:rPr>
                <w:lang w:val="sr-Cyrl-RS"/>
              </w:rPr>
              <w:t>35</w:t>
            </w:r>
          </w:p>
        </w:tc>
        <w:tc>
          <w:tcPr>
            <w:tcW w:w="1620" w:type="dxa"/>
            <w:tcBorders>
              <w:right w:val="thickThinSmallGap" w:sz="24" w:space="0" w:color="auto"/>
            </w:tcBorders>
            <w:vAlign w:val="center"/>
          </w:tcPr>
          <w:p w:rsidR="00A968D5" w:rsidRPr="00933BBE" w:rsidRDefault="00A968D5" w:rsidP="000B2A5A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5</w:t>
            </w:r>
            <w:r w:rsidR="000B2A5A">
              <w:rPr>
                <w:lang w:val="sr-Cyrl-CS"/>
              </w:rPr>
              <w:t>5</w:t>
            </w:r>
            <w:r w:rsidRPr="00933BBE">
              <w:rPr>
                <w:lang w:val="sr-Cyrl-CS"/>
              </w:rPr>
              <w:t>,</w:t>
            </w:r>
            <w:r w:rsidR="000B2A5A">
              <w:rPr>
                <w:lang w:val="sr-Cyrl-CS"/>
              </w:rPr>
              <w:t>33</w:t>
            </w:r>
            <w:r w:rsidRPr="00933BBE">
              <w:rPr>
                <w:lang w:val="sr-Cyrl-CS"/>
              </w:rPr>
              <w:t>%</w:t>
            </w:r>
          </w:p>
        </w:tc>
      </w:tr>
      <w:tr w:rsidR="00A968D5" w:rsidRPr="00933BBE" w:rsidTr="00C61DAF">
        <w:trPr>
          <w:trHeight w:val="530"/>
        </w:trPr>
        <w:tc>
          <w:tcPr>
            <w:tcW w:w="1980" w:type="dxa"/>
            <w:tcBorders>
              <w:left w:val="thinThickSmallGap" w:sz="24" w:space="0" w:color="auto"/>
            </w:tcBorders>
            <w:vAlign w:val="center"/>
          </w:tcPr>
          <w:p w:rsidR="00A968D5" w:rsidRPr="00933BBE" w:rsidRDefault="00A968D5" w:rsidP="00C61DAF">
            <w:pPr>
              <w:jc w:val="center"/>
              <w:rPr>
                <w:lang w:val="sr-Cyrl-CS"/>
              </w:rPr>
            </w:pPr>
            <w:r w:rsidRPr="00933BBE">
              <w:rPr>
                <w:lang w:val="sr-Cyrl-CS"/>
              </w:rPr>
              <w:t>Геодезија и грађевинарство</w:t>
            </w:r>
          </w:p>
        </w:tc>
        <w:tc>
          <w:tcPr>
            <w:tcW w:w="1158" w:type="dxa"/>
            <w:vAlign w:val="center"/>
          </w:tcPr>
          <w:p w:rsidR="00A968D5" w:rsidRPr="00933BBE" w:rsidRDefault="000B2A5A" w:rsidP="00C61DA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408</w:t>
            </w:r>
          </w:p>
        </w:tc>
        <w:tc>
          <w:tcPr>
            <w:tcW w:w="1542" w:type="dxa"/>
            <w:vAlign w:val="center"/>
          </w:tcPr>
          <w:p w:rsidR="00A968D5" w:rsidRPr="00933BBE" w:rsidRDefault="000B2A5A" w:rsidP="00C61DA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8</w:t>
            </w:r>
            <w:r w:rsidR="00A968D5" w:rsidRPr="00933BBE">
              <w:rPr>
                <w:lang w:val="sr-Cyrl-CS"/>
              </w:rPr>
              <w:t>4</w:t>
            </w:r>
          </w:p>
        </w:tc>
        <w:tc>
          <w:tcPr>
            <w:tcW w:w="900" w:type="dxa"/>
            <w:tcBorders>
              <w:right w:val="double" w:sz="4" w:space="0" w:color="auto"/>
            </w:tcBorders>
            <w:vAlign w:val="center"/>
          </w:tcPr>
          <w:p w:rsidR="00A968D5" w:rsidRPr="00D73666" w:rsidRDefault="000B2A5A" w:rsidP="00C61DA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492</w:t>
            </w:r>
          </w:p>
        </w:tc>
        <w:tc>
          <w:tcPr>
            <w:tcW w:w="1080" w:type="dxa"/>
            <w:tcBorders>
              <w:left w:val="double" w:sz="4" w:space="0" w:color="auto"/>
            </w:tcBorders>
            <w:vAlign w:val="center"/>
          </w:tcPr>
          <w:p w:rsidR="00A968D5" w:rsidRPr="00933BBE" w:rsidRDefault="000B2A5A" w:rsidP="00C61DA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291</w:t>
            </w:r>
          </w:p>
        </w:tc>
        <w:tc>
          <w:tcPr>
            <w:tcW w:w="1440" w:type="dxa"/>
            <w:vAlign w:val="center"/>
          </w:tcPr>
          <w:p w:rsidR="00A968D5" w:rsidRPr="00933BBE" w:rsidRDefault="000B2A5A" w:rsidP="00C61DA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42</w:t>
            </w:r>
          </w:p>
        </w:tc>
        <w:tc>
          <w:tcPr>
            <w:tcW w:w="1080" w:type="dxa"/>
            <w:vAlign w:val="center"/>
          </w:tcPr>
          <w:p w:rsidR="00A968D5" w:rsidRPr="00933BBE" w:rsidRDefault="00A968D5" w:rsidP="000B2A5A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3</w:t>
            </w:r>
            <w:r w:rsidR="000B2A5A">
              <w:rPr>
                <w:lang w:val="sr-Cyrl-CS"/>
              </w:rPr>
              <w:t>33</w:t>
            </w:r>
          </w:p>
        </w:tc>
        <w:tc>
          <w:tcPr>
            <w:tcW w:w="1620" w:type="dxa"/>
            <w:tcBorders>
              <w:right w:val="thickThinSmallGap" w:sz="24" w:space="0" w:color="auto"/>
            </w:tcBorders>
            <w:vAlign w:val="center"/>
          </w:tcPr>
          <w:p w:rsidR="00A968D5" w:rsidRPr="00933BBE" w:rsidRDefault="000B2A5A" w:rsidP="000B2A5A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67</w:t>
            </w:r>
            <w:r w:rsidR="00A968D5" w:rsidRPr="00933BBE">
              <w:rPr>
                <w:lang w:val="sr-Cyrl-CS"/>
              </w:rPr>
              <w:t>,</w:t>
            </w:r>
            <w:r>
              <w:rPr>
                <w:lang w:val="sr-Cyrl-CS"/>
              </w:rPr>
              <w:t>68</w:t>
            </w:r>
            <w:r w:rsidR="00A968D5" w:rsidRPr="00933BBE">
              <w:rPr>
                <w:lang w:val="sr-Cyrl-CS"/>
              </w:rPr>
              <w:t>%</w:t>
            </w:r>
          </w:p>
        </w:tc>
      </w:tr>
      <w:tr w:rsidR="00A968D5" w:rsidRPr="00933BBE" w:rsidTr="00C61DAF">
        <w:trPr>
          <w:trHeight w:val="20"/>
        </w:trPr>
        <w:tc>
          <w:tcPr>
            <w:tcW w:w="1980" w:type="dxa"/>
            <w:tcBorders>
              <w:left w:val="thinThickSmallGap" w:sz="24" w:space="0" w:color="auto"/>
            </w:tcBorders>
            <w:vAlign w:val="center"/>
          </w:tcPr>
          <w:p w:rsidR="00A968D5" w:rsidRPr="00933BBE" w:rsidRDefault="00A968D5" w:rsidP="00C61DAF">
            <w:pPr>
              <w:jc w:val="center"/>
              <w:rPr>
                <w:lang w:val="sr-Cyrl-CS"/>
              </w:rPr>
            </w:pPr>
            <w:r w:rsidRPr="00933BBE">
              <w:rPr>
                <w:lang w:val="sr-Cyrl-CS"/>
              </w:rPr>
              <w:t>Саобраћај</w:t>
            </w:r>
          </w:p>
          <w:p w:rsidR="00A968D5" w:rsidRPr="00933BBE" w:rsidRDefault="00A968D5" w:rsidP="00C61DAF">
            <w:pPr>
              <w:jc w:val="center"/>
              <w:rPr>
                <w:lang w:val="sr-Cyrl-CS"/>
              </w:rPr>
            </w:pPr>
          </w:p>
        </w:tc>
        <w:tc>
          <w:tcPr>
            <w:tcW w:w="1158" w:type="dxa"/>
            <w:vAlign w:val="center"/>
          </w:tcPr>
          <w:p w:rsidR="00A968D5" w:rsidRPr="00933BBE" w:rsidRDefault="00A968D5" w:rsidP="000B2A5A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6</w:t>
            </w:r>
            <w:r w:rsidR="000B2A5A">
              <w:rPr>
                <w:lang w:val="sr-Cyrl-CS"/>
              </w:rPr>
              <w:t>8</w:t>
            </w:r>
            <w:r>
              <w:rPr>
                <w:lang w:val="sr-Cyrl-CS"/>
              </w:rPr>
              <w:t>0</w:t>
            </w:r>
          </w:p>
        </w:tc>
        <w:tc>
          <w:tcPr>
            <w:tcW w:w="1542" w:type="dxa"/>
            <w:vAlign w:val="center"/>
          </w:tcPr>
          <w:p w:rsidR="00A968D5" w:rsidRPr="00933BBE" w:rsidRDefault="00A968D5" w:rsidP="00C61DA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5</w:t>
            </w:r>
            <w:r w:rsidRPr="00933BBE">
              <w:rPr>
                <w:lang w:val="sr-Cyrl-CS"/>
              </w:rPr>
              <w:t>0</w:t>
            </w:r>
          </w:p>
        </w:tc>
        <w:tc>
          <w:tcPr>
            <w:tcW w:w="900" w:type="dxa"/>
            <w:tcBorders>
              <w:right w:val="double" w:sz="4" w:space="0" w:color="auto"/>
            </w:tcBorders>
            <w:vAlign w:val="center"/>
          </w:tcPr>
          <w:p w:rsidR="00A968D5" w:rsidRPr="00933BBE" w:rsidRDefault="000B2A5A" w:rsidP="00C61DA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73</w:t>
            </w:r>
            <w:r w:rsidR="00A968D5">
              <w:rPr>
                <w:lang w:val="sr-Cyrl-CS"/>
              </w:rPr>
              <w:t>0</w:t>
            </w:r>
          </w:p>
        </w:tc>
        <w:tc>
          <w:tcPr>
            <w:tcW w:w="1080" w:type="dxa"/>
            <w:tcBorders>
              <w:left w:val="double" w:sz="4" w:space="0" w:color="auto"/>
            </w:tcBorders>
            <w:vAlign w:val="center"/>
          </w:tcPr>
          <w:p w:rsidR="00A968D5" w:rsidRPr="00933BBE" w:rsidRDefault="00A968D5" w:rsidP="000B2A5A">
            <w:pPr>
              <w:jc w:val="center"/>
            </w:pPr>
            <w:r>
              <w:rPr>
                <w:lang w:val="sr-Cyrl-CS"/>
              </w:rPr>
              <w:t>6</w:t>
            </w:r>
            <w:r w:rsidR="000B2A5A">
              <w:rPr>
                <w:lang w:val="sr-Cyrl-CS"/>
              </w:rPr>
              <w:t>50</w:t>
            </w:r>
          </w:p>
        </w:tc>
        <w:tc>
          <w:tcPr>
            <w:tcW w:w="1440" w:type="dxa"/>
            <w:vAlign w:val="center"/>
          </w:tcPr>
          <w:p w:rsidR="00A968D5" w:rsidRPr="002E6547" w:rsidRDefault="000B2A5A" w:rsidP="00C61DA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</w:t>
            </w:r>
            <w:r w:rsidR="00A968D5">
              <w:rPr>
                <w:lang w:val="sr-Cyrl-RS"/>
              </w:rPr>
              <w:t>0</w:t>
            </w:r>
          </w:p>
        </w:tc>
        <w:tc>
          <w:tcPr>
            <w:tcW w:w="1080" w:type="dxa"/>
            <w:vAlign w:val="center"/>
          </w:tcPr>
          <w:p w:rsidR="00A968D5" w:rsidRPr="009A1C5A" w:rsidRDefault="000B2A5A" w:rsidP="00C61DA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680</w:t>
            </w:r>
          </w:p>
        </w:tc>
        <w:tc>
          <w:tcPr>
            <w:tcW w:w="1620" w:type="dxa"/>
            <w:tcBorders>
              <w:right w:val="thickThinSmallGap" w:sz="24" w:space="0" w:color="auto"/>
            </w:tcBorders>
            <w:vAlign w:val="center"/>
          </w:tcPr>
          <w:p w:rsidR="00A968D5" w:rsidRPr="00933BBE" w:rsidRDefault="000B2A5A" w:rsidP="000B2A5A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93</w:t>
            </w:r>
            <w:r w:rsidR="00A968D5">
              <w:rPr>
                <w:lang w:val="sr-Cyrl-CS"/>
              </w:rPr>
              <w:t>,</w:t>
            </w:r>
            <w:r>
              <w:rPr>
                <w:lang w:val="sr-Cyrl-CS"/>
              </w:rPr>
              <w:t>15</w:t>
            </w:r>
            <w:r w:rsidR="00A968D5" w:rsidRPr="00933BBE">
              <w:rPr>
                <w:lang w:val="sr-Cyrl-CS"/>
              </w:rPr>
              <w:t>%</w:t>
            </w:r>
          </w:p>
        </w:tc>
      </w:tr>
      <w:tr w:rsidR="00A968D5" w:rsidRPr="00933BBE" w:rsidTr="00C61DAF">
        <w:tc>
          <w:tcPr>
            <w:tcW w:w="1980" w:type="dxa"/>
            <w:tcBorders>
              <w:left w:val="thinThickSmallGap" w:sz="24" w:space="0" w:color="auto"/>
            </w:tcBorders>
            <w:vAlign w:val="center"/>
          </w:tcPr>
          <w:p w:rsidR="00A968D5" w:rsidRPr="00933BBE" w:rsidRDefault="00A968D5" w:rsidP="00C61DAF">
            <w:pPr>
              <w:jc w:val="center"/>
              <w:rPr>
                <w:lang w:val="sr-Cyrl-CS"/>
              </w:rPr>
            </w:pPr>
            <w:r w:rsidRPr="00933BBE">
              <w:rPr>
                <w:lang w:val="sr-Cyrl-CS"/>
              </w:rPr>
              <w:t>Трговина, угоститељство и туризам</w:t>
            </w:r>
          </w:p>
        </w:tc>
        <w:tc>
          <w:tcPr>
            <w:tcW w:w="1158" w:type="dxa"/>
            <w:vAlign w:val="center"/>
          </w:tcPr>
          <w:p w:rsidR="00A968D5" w:rsidRPr="00933BBE" w:rsidRDefault="000B2A5A" w:rsidP="00C61DA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720</w:t>
            </w:r>
          </w:p>
        </w:tc>
        <w:tc>
          <w:tcPr>
            <w:tcW w:w="1542" w:type="dxa"/>
            <w:vAlign w:val="center"/>
          </w:tcPr>
          <w:p w:rsidR="00A968D5" w:rsidRPr="00933BBE" w:rsidRDefault="00A968D5" w:rsidP="00C61DAF">
            <w:pPr>
              <w:jc w:val="center"/>
              <w:rPr>
                <w:lang w:val="sr-Cyrl-CS"/>
              </w:rPr>
            </w:pPr>
          </w:p>
        </w:tc>
        <w:tc>
          <w:tcPr>
            <w:tcW w:w="900" w:type="dxa"/>
            <w:tcBorders>
              <w:right w:val="double" w:sz="4" w:space="0" w:color="auto"/>
            </w:tcBorders>
            <w:vAlign w:val="center"/>
          </w:tcPr>
          <w:p w:rsidR="00A968D5" w:rsidRPr="00933BBE" w:rsidRDefault="00A968D5" w:rsidP="000B2A5A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7</w:t>
            </w:r>
            <w:r w:rsidR="000B2A5A">
              <w:rPr>
                <w:lang w:val="sr-Cyrl-CS"/>
              </w:rPr>
              <w:t>20</w:t>
            </w:r>
          </w:p>
        </w:tc>
        <w:tc>
          <w:tcPr>
            <w:tcW w:w="1080" w:type="dxa"/>
            <w:tcBorders>
              <w:left w:val="double" w:sz="4" w:space="0" w:color="auto"/>
            </w:tcBorders>
            <w:vAlign w:val="center"/>
          </w:tcPr>
          <w:p w:rsidR="00A968D5" w:rsidRPr="00933BBE" w:rsidRDefault="00A968D5" w:rsidP="000B2A5A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6</w:t>
            </w:r>
            <w:r w:rsidR="000B2A5A">
              <w:rPr>
                <w:lang w:val="sr-Cyrl-CS"/>
              </w:rPr>
              <w:t>78</w:t>
            </w:r>
          </w:p>
        </w:tc>
        <w:tc>
          <w:tcPr>
            <w:tcW w:w="1440" w:type="dxa"/>
            <w:vAlign w:val="center"/>
          </w:tcPr>
          <w:p w:rsidR="00A968D5" w:rsidRPr="002E6547" w:rsidRDefault="00A968D5" w:rsidP="00C61DAF">
            <w:pPr>
              <w:jc w:val="center"/>
              <w:rPr>
                <w:lang w:val="sr-Cyrl-RS"/>
              </w:rPr>
            </w:pPr>
          </w:p>
        </w:tc>
        <w:tc>
          <w:tcPr>
            <w:tcW w:w="1080" w:type="dxa"/>
            <w:vAlign w:val="center"/>
          </w:tcPr>
          <w:p w:rsidR="00A968D5" w:rsidRPr="00933BBE" w:rsidRDefault="00A968D5" w:rsidP="000B2A5A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6</w:t>
            </w:r>
            <w:r w:rsidR="000B2A5A">
              <w:rPr>
                <w:lang w:val="sr-Cyrl-CS"/>
              </w:rPr>
              <w:t>78</w:t>
            </w:r>
          </w:p>
        </w:tc>
        <w:tc>
          <w:tcPr>
            <w:tcW w:w="1620" w:type="dxa"/>
            <w:tcBorders>
              <w:right w:val="thickThinSmallGap" w:sz="24" w:space="0" w:color="auto"/>
            </w:tcBorders>
            <w:vAlign w:val="center"/>
          </w:tcPr>
          <w:p w:rsidR="00A968D5" w:rsidRPr="00933BBE" w:rsidRDefault="000B2A5A" w:rsidP="000B2A5A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94</w:t>
            </w:r>
            <w:r w:rsidR="00A968D5" w:rsidRPr="00933BBE">
              <w:rPr>
                <w:lang w:val="sr-Cyrl-CS"/>
              </w:rPr>
              <w:t>,</w:t>
            </w:r>
            <w:r>
              <w:rPr>
                <w:lang w:val="sr-Cyrl-CS"/>
              </w:rPr>
              <w:t>17</w:t>
            </w:r>
            <w:r w:rsidR="00A968D5" w:rsidRPr="00933BBE">
              <w:rPr>
                <w:lang w:val="sr-Cyrl-CS"/>
              </w:rPr>
              <w:t>%</w:t>
            </w:r>
          </w:p>
        </w:tc>
      </w:tr>
      <w:tr w:rsidR="00A968D5" w:rsidRPr="00933BBE" w:rsidTr="00C61DAF">
        <w:tc>
          <w:tcPr>
            <w:tcW w:w="1980" w:type="dxa"/>
            <w:tcBorders>
              <w:left w:val="thinThickSmallGap" w:sz="24" w:space="0" w:color="auto"/>
            </w:tcBorders>
            <w:vAlign w:val="center"/>
          </w:tcPr>
          <w:p w:rsidR="00A968D5" w:rsidRPr="00933BBE" w:rsidRDefault="00A968D5" w:rsidP="00C61DAF">
            <w:pPr>
              <w:jc w:val="center"/>
              <w:rPr>
                <w:lang w:val="sr-Cyrl-CS"/>
              </w:rPr>
            </w:pPr>
            <w:r w:rsidRPr="00933BBE">
              <w:rPr>
                <w:lang w:val="sr-Cyrl-CS"/>
              </w:rPr>
              <w:t>Економија, право и администрација</w:t>
            </w:r>
          </w:p>
        </w:tc>
        <w:tc>
          <w:tcPr>
            <w:tcW w:w="1158" w:type="dxa"/>
            <w:vAlign w:val="center"/>
          </w:tcPr>
          <w:p w:rsidR="00A968D5" w:rsidRPr="00933BBE" w:rsidRDefault="00A968D5" w:rsidP="000B2A5A">
            <w:pPr>
              <w:jc w:val="center"/>
            </w:pPr>
            <w:r w:rsidRPr="00933BBE">
              <w:t>2</w:t>
            </w:r>
            <w:r w:rsidRPr="00933BBE">
              <w:rPr>
                <w:lang w:val="sr-Cyrl-CS"/>
              </w:rPr>
              <w:t>.</w:t>
            </w:r>
            <w:r w:rsidR="000B2A5A">
              <w:rPr>
                <w:lang w:val="sr-Cyrl-CS"/>
              </w:rPr>
              <w:t>142</w:t>
            </w:r>
          </w:p>
        </w:tc>
        <w:tc>
          <w:tcPr>
            <w:tcW w:w="1542" w:type="dxa"/>
            <w:vAlign w:val="center"/>
          </w:tcPr>
          <w:p w:rsidR="00A968D5" w:rsidRPr="00933BBE" w:rsidRDefault="00A968D5" w:rsidP="00C61DAF">
            <w:pPr>
              <w:jc w:val="center"/>
              <w:rPr>
                <w:lang w:val="sr-Cyrl-CS"/>
              </w:rPr>
            </w:pPr>
            <w:r w:rsidRPr="00933BBE">
              <w:rPr>
                <w:lang w:val="sr-Cyrl-CS"/>
              </w:rPr>
              <w:t>2</w:t>
            </w:r>
            <w:r>
              <w:rPr>
                <w:lang w:val="sr-Cyrl-CS"/>
              </w:rPr>
              <w:t>70</w:t>
            </w:r>
          </w:p>
        </w:tc>
        <w:tc>
          <w:tcPr>
            <w:tcW w:w="900" w:type="dxa"/>
            <w:tcBorders>
              <w:right w:val="double" w:sz="4" w:space="0" w:color="auto"/>
            </w:tcBorders>
            <w:vAlign w:val="center"/>
          </w:tcPr>
          <w:p w:rsidR="00A968D5" w:rsidRPr="00933BBE" w:rsidRDefault="00A968D5" w:rsidP="000B2A5A">
            <w:pPr>
              <w:jc w:val="center"/>
            </w:pPr>
            <w:r w:rsidRPr="00933BBE">
              <w:rPr>
                <w:lang w:val="sr-Cyrl-CS"/>
              </w:rPr>
              <w:t>2.</w:t>
            </w:r>
            <w:r w:rsidR="000B2A5A">
              <w:rPr>
                <w:lang w:val="sr-Cyrl-CS"/>
              </w:rPr>
              <w:t>412</w:t>
            </w:r>
          </w:p>
        </w:tc>
        <w:tc>
          <w:tcPr>
            <w:tcW w:w="1080" w:type="dxa"/>
            <w:tcBorders>
              <w:left w:val="double" w:sz="4" w:space="0" w:color="auto"/>
            </w:tcBorders>
            <w:vAlign w:val="center"/>
          </w:tcPr>
          <w:p w:rsidR="00A968D5" w:rsidRPr="00933BBE" w:rsidRDefault="000B2A5A" w:rsidP="000B2A5A">
            <w:pPr>
              <w:jc w:val="center"/>
            </w:pPr>
            <w:r>
              <w:rPr>
                <w:lang w:val="sr-Cyrl-CS"/>
              </w:rPr>
              <w:t>1</w:t>
            </w:r>
            <w:r w:rsidR="00A968D5" w:rsidRPr="00933BBE">
              <w:rPr>
                <w:lang w:val="sr-Cyrl-CS"/>
              </w:rPr>
              <w:t>.</w:t>
            </w:r>
            <w:r>
              <w:rPr>
                <w:lang w:val="sr-Cyrl-CS"/>
              </w:rPr>
              <w:t>952</w:t>
            </w:r>
          </w:p>
        </w:tc>
        <w:tc>
          <w:tcPr>
            <w:tcW w:w="1440" w:type="dxa"/>
            <w:vAlign w:val="center"/>
          </w:tcPr>
          <w:p w:rsidR="00A968D5" w:rsidRPr="00933BBE" w:rsidRDefault="00A968D5" w:rsidP="000B2A5A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21</w:t>
            </w:r>
            <w:r w:rsidR="000B2A5A">
              <w:rPr>
                <w:lang w:val="sr-Cyrl-CS"/>
              </w:rPr>
              <w:t>9</w:t>
            </w:r>
          </w:p>
        </w:tc>
        <w:tc>
          <w:tcPr>
            <w:tcW w:w="1080" w:type="dxa"/>
            <w:vAlign w:val="center"/>
          </w:tcPr>
          <w:p w:rsidR="00A968D5" w:rsidRPr="00933BBE" w:rsidRDefault="00A968D5" w:rsidP="000B2A5A">
            <w:pPr>
              <w:jc w:val="center"/>
            </w:pPr>
            <w:r w:rsidRPr="00933BBE">
              <w:rPr>
                <w:lang w:val="sr-Cyrl-CS"/>
              </w:rPr>
              <w:t>2.</w:t>
            </w:r>
            <w:r w:rsidR="000B2A5A">
              <w:rPr>
                <w:lang w:val="sr-Cyrl-CS"/>
              </w:rPr>
              <w:t>171</w:t>
            </w:r>
          </w:p>
        </w:tc>
        <w:tc>
          <w:tcPr>
            <w:tcW w:w="1620" w:type="dxa"/>
            <w:tcBorders>
              <w:right w:val="thickThinSmallGap" w:sz="24" w:space="0" w:color="auto"/>
            </w:tcBorders>
            <w:vAlign w:val="center"/>
          </w:tcPr>
          <w:p w:rsidR="00A968D5" w:rsidRPr="00933BBE" w:rsidRDefault="00A968D5" w:rsidP="000B2A5A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9</w:t>
            </w:r>
            <w:r w:rsidR="000B2A5A">
              <w:rPr>
                <w:lang w:val="sr-Cyrl-CS"/>
              </w:rPr>
              <w:t>0</w:t>
            </w:r>
            <w:r w:rsidRPr="00933BBE">
              <w:rPr>
                <w:lang w:val="sr-Cyrl-CS"/>
              </w:rPr>
              <w:t>%</w:t>
            </w:r>
          </w:p>
        </w:tc>
      </w:tr>
      <w:tr w:rsidR="00A968D5" w:rsidRPr="002B7DE1" w:rsidTr="00C61DAF">
        <w:trPr>
          <w:trHeight w:val="870"/>
        </w:trPr>
        <w:tc>
          <w:tcPr>
            <w:tcW w:w="1980" w:type="dxa"/>
            <w:tcBorders>
              <w:left w:val="thinThickSmallGap" w:sz="24" w:space="0" w:color="auto"/>
              <w:bottom w:val="single" w:sz="4" w:space="0" w:color="auto"/>
            </w:tcBorders>
            <w:vAlign w:val="center"/>
          </w:tcPr>
          <w:p w:rsidR="00A968D5" w:rsidRPr="00933BBE" w:rsidRDefault="00A968D5" w:rsidP="00C61DAF">
            <w:pPr>
              <w:jc w:val="center"/>
              <w:rPr>
                <w:lang w:val="sr-Cyrl-CS"/>
              </w:rPr>
            </w:pPr>
            <w:r w:rsidRPr="00933BBE">
              <w:rPr>
                <w:lang w:val="sr-Cyrl-CS"/>
              </w:rPr>
              <w:t>Здравство и социјална заштита</w:t>
            </w:r>
          </w:p>
        </w:tc>
        <w:tc>
          <w:tcPr>
            <w:tcW w:w="1158" w:type="dxa"/>
            <w:tcBorders>
              <w:bottom w:val="single" w:sz="4" w:space="0" w:color="auto"/>
            </w:tcBorders>
            <w:vAlign w:val="center"/>
          </w:tcPr>
          <w:p w:rsidR="00A968D5" w:rsidRPr="002B7DE1" w:rsidRDefault="00A968D5" w:rsidP="00C61DAF">
            <w:pPr>
              <w:jc w:val="center"/>
              <w:rPr>
                <w:lang w:val="sr-Cyrl-CS"/>
              </w:rPr>
            </w:pPr>
            <w:r w:rsidRPr="002B7DE1">
              <w:rPr>
                <w:lang w:val="sr-Cyrl-CS"/>
              </w:rPr>
              <w:t>1.</w:t>
            </w:r>
            <w:r w:rsidR="000B2A5A">
              <w:rPr>
                <w:lang w:val="sr-Cyrl-CS"/>
              </w:rPr>
              <w:t>08</w:t>
            </w:r>
            <w:r>
              <w:rPr>
                <w:lang w:val="sr-Cyrl-CS"/>
              </w:rPr>
              <w:t>0</w:t>
            </w:r>
          </w:p>
        </w:tc>
        <w:tc>
          <w:tcPr>
            <w:tcW w:w="1542" w:type="dxa"/>
            <w:tcBorders>
              <w:bottom w:val="single" w:sz="4" w:space="0" w:color="auto"/>
            </w:tcBorders>
            <w:vAlign w:val="center"/>
          </w:tcPr>
          <w:p w:rsidR="00A968D5" w:rsidRPr="002B7DE1" w:rsidRDefault="00A968D5" w:rsidP="00C61DAF">
            <w:pPr>
              <w:jc w:val="center"/>
              <w:rPr>
                <w:lang w:val="sr-Cyrl-CS"/>
              </w:rPr>
            </w:pPr>
            <w:r w:rsidRPr="002B7DE1">
              <w:rPr>
                <w:lang w:val="sr-Cyrl-CS"/>
              </w:rPr>
              <w:t>2</w:t>
            </w:r>
            <w:r>
              <w:rPr>
                <w:lang w:val="sr-Cyrl-CS"/>
              </w:rPr>
              <w:t>4</w:t>
            </w:r>
            <w:r w:rsidRPr="002B7DE1">
              <w:rPr>
                <w:lang w:val="sr-Cyrl-CS"/>
              </w:rPr>
              <w:t>0</w:t>
            </w:r>
          </w:p>
        </w:tc>
        <w:tc>
          <w:tcPr>
            <w:tcW w:w="900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A968D5" w:rsidRPr="002B7DE1" w:rsidRDefault="00A968D5" w:rsidP="000B2A5A">
            <w:pPr>
              <w:jc w:val="center"/>
              <w:rPr>
                <w:lang w:val="sr-Cyrl-CS"/>
              </w:rPr>
            </w:pPr>
            <w:r w:rsidRPr="002B7DE1">
              <w:rPr>
                <w:lang w:val="sr-Cyrl-CS"/>
              </w:rPr>
              <w:t>1.3</w:t>
            </w:r>
            <w:r w:rsidR="000B2A5A">
              <w:rPr>
                <w:lang w:val="sr-Cyrl-CS"/>
              </w:rPr>
              <w:t>2</w:t>
            </w:r>
            <w:r>
              <w:rPr>
                <w:lang w:val="sr-Cyrl-CS"/>
              </w:rPr>
              <w:t>0</w:t>
            </w:r>
          </w:p>
        </w:tc>
        <w:tc>
          <w:tcPr>
            <w:tcW w:w="1080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A968D5" w:rsidRPr="002B7DE1" w:rsidRDefault="00A968D5" w:rsidP="000B2A5A">
            <w:pPr>
              <w:jc w:val="center"/>
            </w:pPr>
            <w:r w:rsidRPr="002B7DE1">
              <w:rPr>
                <w:lang w:val="sr-Cyrl-CS"/>
              </w:rPr>
              <w:t>1.</w:t>
            </w:r>
            <w:r w:rsidR="000B2A5A">
              <w:rPr>
                <w:lang w:val="sr-Cyrl-CS"/>
              </w:rPr>
              <w:t>153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A968D5" w:rsidRPr="002B7DE1" w:rsidRDefault="00A968D5" w:rsidP="000B2A5A">
            <w:pPr>
              <w:jc w:val="center"/>
            </w:pPr>
            <w:r w:rsidRPr="002B7DE1">
              <w:rPr>
                <w:lang w:val="sr-Cyrl-CS"/>
              </w:rPr>
              <w:t>2</w:t>
            </w:r>
            <w:r>
              <w:rPr>
                <w:lang w:val="sr-Cyrl-CS"/>
              </w:rPr>
              <w:t>3</w:t>
            </w:r>
            <w:r w:rsidR="000B2A5A">
              <w:rPr>
                <w:lang w:val="sr-Cyrl-CS"/>
              </w:rPr>
              <w:t>9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A968D5" w:rsidRPr="002B7DE1" w:rsidRDefault="00A968D5" w:rsidP="000B2A5A">
            <w:pPr>
              <w:jc w:val="center"/>
            </w:pPr>
            <w:r w:rsidRPr="002B7DE1">
              <w:rPr>
                <w:lang w:val="sr-Cyrl-CS"/>
              </w:rPr>
              <w:t>1.</w:t>
            </w:r>
            <w:r w:rsidR="000B2A5A">
              <w:rPr>
                <w:lang w:val="sr-Cyrl-CS"/>
              </w:rPr>
              <w:t>392</w:t>
            </w:r>
          </w:p>
        </w:tc>
        <w:tc>
          <w:tcPr>
            <w:tcW w:w="1620" w:type="dxa"/>
            <w:tcBorders>
              <w:bottom w:val="single" w:sz="4" w:space="0" w:color="auto"/>
              <w:right w:val="thickThinSmallGap" w:sz="24" w:space="0" w:color="auto"/>
            </w:tcBorders>
            <w:vAlign w:val="center"/>
          </w:tcPr>
          <w:p w:rsidR="00A968D5" w:rsidRPr="002B7DE1" w:rsidRDefault="00A968D5" w:rsidP="000B2A5A">
            <w:pPr>
              <w:jc w:val="center"/>
              <w:rPr>
                <w:lang w:val="sr-Cyrl-CS"/>
              </w:rPr>
            </w:pPr>
            <w:r w:rsidRPr="002B7DE1">
              <w:rPr>
                <w:lang w:val="sr-Cyrl-CS"/>
              </w:rPr>
              <w:t>10</w:t>
            </w:r>
            <w:r w:rsidR="000B2A5A">
              <w:rPr>
                <w:lang w:val="sr-Cyrl-CS"/>
              </w:rPr>
              <w:t>5</w:t>
            </w:r>
            <w:r w:rsidRPr="002B7DE1">
              <w:rPr>
                <w:lang w:val="sr-Cyrl-CS"/>
              </w:rPr>
              <w:t>,</w:t>
            </w:r>
            <w:r w:rsidR="000B2A5A">
              <w:rPr>
                <w:lang w:val="sr-Cyrl-CS"/>
              </w:rPr>
              <w:t>45</w:t>
            </w:r>
            <w:r w:rsidRPr="002B7DE1">
              <w:rPr>
                <w:lang w:val="sr-Cyrl-CS"/>
              </w:rPr>
              <w:t>%</w:t>
            </w:r>
          </w:p>
        </w:tc>
      </w:tr>
      <w:tr w:rsidR="00A968D5" w:rsidRPr="002B7DE1" w:rsidTr="00C61DAF">
        <w:tc>
          <w:tcPr>
            <w:tcW w:w="1980" w:type="dxa"/>
            <w:tcBorders>
              <w:left w:val="thinThickSmallGap" w:sz="24" w:space="0" w:color="auto"/>
              <w:bottom w:val="single" w:sz="4" w:space="0" w:color="auto"/>
            </w:tcBorders>
            <w:vAlign w:val="center"/>
          </w:tcPr>
          <w:p w:rsidR="00A968D5" w:rsidRPr="00933BBE" w:rsidRDefault="00A968D5" w:rsidP="00C61DAF">
            <w:pPr>
              <w:jc w:val="center"/>
              <w:rPr>
                <w:lang w:val="sr-Cyrl-CS"/>
              </w:rPr>
            </w:pPr>
            <w:r w:rsidRPr="00933BBE">
              <w:rPr>
                <w:lang w:val="sr-Cyrl-CS"/>
              </w:rPr>
              <w:t xml:space="preserve">Култура, уметност и јавно </w:t>
            </w:r>
          </w:p>
          <w:p w:rsidR="00A968D5" w:rsidRPr="00933BBE" w:rsidRDefault="00A968D5" w:rsidP="00C61DAF">
            <w:pPr>
              <w:jc w:val="center"/>
              <w:rPr>
                <w:lang w:val="sr-Cyrl-CS"/>
              </w:rPr>
            </w:pPr>
            <w:r w:rsidRPr="00933BBE">
              <w:rPr>
                <w:lang w:val="sr-Cyrl-CS"/>
              </w:rPr>
              <w:t>информисање</w:t>
            </w:r>
          </w:p>
        </w:tc>
        <w:tc>
          <w:tcPr>
            <w:tcW w:w="1158" w:type="dxa"/>
            <w:tcBorders>
              <w:bottom w:val="single" w:sz="4" w:space="0" w:color="auto"/>
            </w:tcBorders>
            <w:vAlign w:val="center"/>
          </w:tcPr>
          <w:p w:rsidR="00A968D5" w:rsidRPr="002B7DE1" w:rsidRDefault="00A968D5" w:rsidP="000B2A5A">
            <w:pPr>
              <w:jc w:val="center"/>
              <w:rPr>
                <w:lang w:val="sr-Cyrl-CS"/>
              </w:rPr>
            </w:pPr>
            <w:r w:rsidRPr="002B7DE1">
              <w:rPr>
                <w:lang w:val="sr-Cyrl-CS"/>
              </w:rPr>
              <w:t>4</w:t>
            </w:r>
            <w:r w:rsidR="000B2A5A">
              <w:rPr>
                <w:lang w:val="sr-Cyrl-CS"/>
              </w:rPr>
              <w:t>02</w:t>
            </w:r>
          </w:p>
        </w:tc>
        <w:tc>
          <w:tcPr>
            <w:tcW w:w="1542" w:type="dxa"/>
            <w:tcBorders>
              <w:bottom w:val="single" w:sz="4" w:space="0" w:color="auto"/>
            </w:tcBorders>
            <w:vAlign w:val="center"/>
          </w:tcPr>
          <w:p w:rsidR="00A968D5" w:rsidRPr="002B7DE1" w:rsidRDefault="00A968D5" w:rsidP="00C61DAF">
            <w:pPr>
              <w:jc w:val="center"/>
              <w:rPr>
                <w:lang w:val="sr-Cyrl-CS"/>
              </w:rPr>
            </w:pPr>
            <w:r w:rsidRPr="002B7DE1">
              <w:rPr>
                <w:lang w:val="sr-Cyrl-CS"/>
              </w:rPr>
              <w:t>88</w:t>
            </w:r>
          </w:p>
        </w:tc>
        <w:tc>
          <w:tcPr>
            <w:tcW w:w="900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A968D5" w:rsidRPr="002B7DE1" w:rsidRDefault="000B2A5A" w:rsidP="00C61DA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490</w:t>
            </w:r>
          </w:p>
        </w:tc>
        <w:tc>
          <w:tcPr>
            <w:tcW w:w="1080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A968D5" w:rsidRPr="002B7DE1" w:rsidRDefault="00A968D5" w:rsidP="000B2A5A">
            <w:pPr>
              <w:jc w:val="center"/>
            </w:pPr>
            <w:r w:rsidRPr="002B7DE1">
              <w:rPr>
                <w:lang w:val="sr-Cyrl-CS"/>
              </w:rPr>
              <w:t>3</w:t>
            </w:r>
            <w:r w:rsidR="000B2A5A">
              <w:rPr>
                <w:lang w:val="sr-Cyrl-CS"/>
              </w:rPr>
              <w:t>20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A968D5" w:rsidRPr="002B7DE1" w:rsidRDefault="000B2A5A" w:rsidP="00C61DA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39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A968D5" w:rsidRPr="002B7DE1" w:rsidRDefault="00A968D5" w:rsidP="000B2A5A">
            <w:pPr>
              <w:jc w:val="center"/>
              <w:rPr>
                <w:lang w:val="sr-Cyrl-CS"/>
              </w:rPr>
            </w:pPr>
            <w:r w:rsidRPr="002B7DE1">
              <w:rPr>
                <w:lang w:val="sr-Cyrl-CS"/>
              </w:rPr>
              <w:t>3</w:t>
            </w:r>
            <w:r>
              <w:rPr>
                <w:lang w:val="sr-Cyrl-CS"/>
              </w:rPr>
              <w:t>5</w:t>
            </w:r>
            <w:r w:rsidR="000B2A5A">
              <w:rPr>
                <w:lang w:val="sr-Cyrl-CS"/>
              </w:rPr>
              <w:t>9</w:t>
            </w:r>
          </w:p>
        </w:tc>
        <w:tc>
          <w:tcPr>
            <w:tcW w:w="1620" w:type="dxa"/>
            <w:tcBorders>
              <w:bottom w:val="single" w:sz="4" w:space="0" w:color="auto"/>
              <w:right w:val="thickThinSmallGap" w:sz="24" w:space="0" w:color="auto"/>
            </w:tcBorders>
            <w:vAlign w:val="center"/>
          </w:tcPr>
          <w:p w:rsidR="00A968D5" w:rsidRPr="002B7DE1" w:rsidRDefault="00A968D5" w:rsidP="000B2A5A">
            <w:pPr>
              <w:jc w:val="center"/>
              <w:rPr>
                <w:lang w:val="sr-Cyrl-CS"/>
              </w:rPr>
            </w:pPr>
            <w:r w:rsidRPr="002B7DE1">
              <w:rPr>
                <w:lang w:val="sr-Cyrl-CS"/>
              </w:rPr>
              <w:t>7</w:t>
            </w:r>
            <w:r w:rsidR="000B2A5A">
              <w:rPr>
                <w:lang w:val="sr-Cyrl-CS"/>
              </w:rPr>
              <w:t>3</w:t>
            </w:r>
            <w:r w:rsidRPr="002B7DE1">
              <w:rPr>
                <w:lang w:val="sr-Cyrl-CS"/>
              </w:rPr>
              <w:t>,</w:t>
            </w:r>
            <w:r w:rsidR="000B2A5A">
              <w:rPr>
                <w:lang w:val="sr-Cyrl-CS"/>
              </w:rPr>
              <w:t>26</w:t>
            </w:r>
            <w:r w:rsidRPr="002B7DE1">
              <w:rPr>
                <w:lang w:val="sr-Cyrl-CS"/>
              </w:rPr>
              <w:t>%</w:t>
            </w:r>
          </w:p>
        </w:tc>
      </w:tr>
      <w:tr w:rsidR="00A968D5" w:rsidRPr="002B7DE1" w:rsidTr="00C61DAF">
        <w:trPr>
          <w:trHeight w:val="60"/>
        </w:trPr>
        <w:tc>
          <w:tcPr>
            <w:tcW w:w="1980" w:type="dxa"/>
            <w:tcBorders>
              <w:top w:val="single" w:sz="4" w:space="0" w:color="auto"/>
              <w:left w:val="thinThickSmallGap" w:sz="24" w:space="0" w:color="auto"/>
              <w:bottom w:val="thickThinSmallGap" w:sz="24" w:space="0" w:color="auto"/>
            </w:tcBorders>
            <w:vAlign w:val="center"/>
          </w:tcPr>
          <w:p w:rsidR="00A968D5" w:rsidRPr="00933BBE" w:rsidRDefault="00A968D5" w:rsidP="00C61DAF">
            <w:pPr>
              <w:jc w:val="center"/>
              <w:rPr>
                <w:lang w:val="sr-Cyrl-CS"/>
              </w:rPr>
            </w:pPr>
            <w:r w:rsidRPr="00933BBE">
              <w:rPr>
                <w:lang w:val="sr-Cyrl-CS"/>
              </w:rPr>
              <w:t>Укупно</w:t>
            </w:r>
          </w:p>
          <w:p w:rsidR="00A968D5" w:rsidRPr="00933BBE" w:rsidRDefault="00A968D5" w:rsidP="00C61DAF">
            <w:pPr>
              <w:jc w:val="center"/>
              <w:rPr>
                <w:lang w:val="sr-Cyrl-CS"/>
              </w:rPr>
            </w:pPr>
          </w:p>
        </w:tc>
        <w:tc>
          <w:tcPr>
            <w:tcW w:w="1158" w:type="dxa"/>
            <w:tcBorders>
              <w:top w:val="single" w:sz="4" w:space="0" w:color="auto"/>
              <w:bottom w:val="thickThinSmallGap" w:sz="24" w:space="0" w:color="auto"/>
            </w:tcBorders>
            <w:vAlign w:val="center"/>
          </w:tcPr>
          <w:p w:rsidR="00A968D5" w:rsidRPr="002B7DE1" w:rsidRDefault="00A968D5" w:rsidP="000B2A5A">
            <w:pPr>
              <w:jc w:val="center"/>
            </w:pPr>
            <w:r w:rsidRPr="002B7DE1">
              <w:rPr>
                <w:lang w:val="sr-Cyrl-CS"/>
              </w:rPr>
              <w:t>1</w:t>
            </w:r>
            <w:r w:rsidR="000B2A5A">
              <w:rPr>
                <w:lang w:val="sr-Cyrl-CS"/>
              </w:rPr>
              <w:t>4</w:t>
            </w:r>
            <w:r w:rsidRPr="002B7DE1">
              <w:rPr>
                <w:lang w:val="sr-Cyrl-CS"/>
              </w:rPr>
              <w:t>.</w:t>
            </w:r>
            <w:r w:rsidR="000B2A5A">
              <w:rPr>
                <w:lang w:val="sr-Cyrl-CS"/>
              </w:rPr>
              <w:t>685</w:t>
            </w:r>
          </w:p>
        </w:tc>
        <w:tc>
          <w:tcPr>
            <w:tcW w:w="1542" w:type="dxa"/>
            <w:tcBorders>
              <w:top w:val="single" w:sz="4" w:space="0" w:color="auto"/>
              <w:bottom w:val="thickThinSmallGap" w:sz="24" w:space="0" w:color="auto"/>
            </w:tcBorders>
            <w:vAlign w:val="center"/>
          </w:tcPr>
          <w:p w:rsidR="00A968D5" w:rsidRPr="002B7DE1" w:rsidRDefault="000B2A5A" w:rsidP="000B2A5A">
            <w:pPr>
              <w:jc w:val="center"/>
            </w:pPr>
            <w:r>
              <w:rPr>
                <w:lang w:val="sr-Cyrl-CS"/>
              </w:rPr>
              <w:t>1</w:t>
            </w:r>
            <w:r w:rsidR="00A968D5" w:rsidRPr="002B7DE1">
              <w:rPr>
                <w:lang w:val="sr-Cyrl-CS"/>
              </w:rPr>
              <w:t>.</w:t>
            </w:r>
            <w:r>
              <w:rPr>
                <w:lang w:val="sr-Cyrl-CS"/>
              </w:rPr>
              <w:t>984</w:t>
            </w:r>
          </w:p>
        </w:tc>
        <w:tc>
          <w:tcPr>
            <w:tcW w:w="900" w:type="dxa"/>
            <w:tcBorders>
              <w:top w:val="single" w:sz="4" w:space="0" w:color="auto"/>
              <w:bottom w:val="thickThinSmallGap" w:sz="24" w:space="0" w:color="auto"/>
              <w:right w:val="double" w:sz="4" w:space="0" w:color="auto"/>
            </w:tcBorders>
            <w:vAlign w:val="center"/>
          </w:tcPr>
          <w:p w:rsidR="00A968D5" w:rsidRPr="002B7DE1" w:rsidRDefault="00A968D5" w:rsidP="000B2A5A">
            <w:pPr>
              <w:jc w:val="center"/>
            </w:pPr>
            <w:r w:rsidRPr="002B7DE1">
              <w:rPr>
                <w:lang w:val="sr-Cyrl-CS"/>
              </w:rPr>
              <w:t>1</w:t>
            </w:r>
            <w:r w:rsidR="000B2A5A">
              <w:rPr>
                <w:lang w:val="sr-Cyrl-CS"/>
              </w:rPr>
              <w:t>6</w:t>
            </w:r>
            <w:r w:rsidRPr="002B7DE1">
              <w:rPr>
                <w:lang w:val="sr-Cyrl-CS"/>
              </w:rPr>
              <w:t>.</w:t>
            </w:r>
            <w:r w:rsidR="000B2A5A">
              <w:rPr>
                <w:lang w:val="sr-Cyrl-CS"/>
              </w:rPr>
              <w:t>669</w:t>
            </w:r>
          </w:p>
        </w:tc>
        <w:tc>
          <w:tcPr>
            <w:tcW w:w="1080" w:type="dxa"/>
            <w:tcBorders>
              <w:top w:val="single" w:sz="4" w:space="0" w:color="auto"/>
              <w:left w:val="double" w:sz="4" w:space="0" w:color="auto"/>
              <w:bottom w:val="thickThinSmallGap" w:sz="24" w:space="0" w:color="auto"/>
            </w:tcBorders>
            <w:vAlign w:val="center"/>
          </w:tcPr>
          <w:p w:rsidR="00A968D5" w:rsidRPr="002B7DE1" w:rsidRDefault="00A968D5" w:rsidP="000B2A5A">
            <w:pPr>
              <w:jc w:val="center"/>
            </w:pPr>
            <w:r w:rsidRPr="002B7DE1">
              <w:rPr>
                <w:lang w:val="sr-Cyrl-CS"/>
              </w:rPr>
              <w:t>1</w:t>
            </w:r>
            <w:r w:rsidR="000B2A5A">
              <w:rPr>
                <w:lang w:val="sr-Cyrl-CS"/>
              </w:rPr>
              <w:t>2</w:t>
            </w:r>
            <w:r w:rsidRPr="002B7DE1">
              <w:rPr>
                <w:lang w:val="sr-Cyrl-CS"/>
              </w:rPr>
              <w:t>.</w:t>
            </w:r>
            <w:r w:rsidR="000B2A5A">
              <w:rPr>
                <w:lang w:val="sr-Cyrl-CS"/>
              </w:rPr>
              <w:t>657</w:t>
            </w:r>
          </w:p>
        </w:tc>
        <w:tc>
          <w:tcPr>
            <w:tcW w:w="1440" w:type="dxa"/>
            <w:tcBorders>
              <w:top w:val="single" w:sz="4" w:space="0" w:color="auto"/>
              <w:bottom w:val="thickThinSmallGap" w:sz="24" w:space="0" w:color="auto"/>
            </w:tcBorders>
            <w:vAlign w:val="center"/>
          </w:tcPr>
          <w:p w:rsidR="00A968D5" w:rsidRPr="002B7DE1" w:rsidRDefault="00A968D5" w:rsidP="000B2A5A">
            <w:pPr>
              <w:jc w:val="center"/>
              <w:rPr>
                <w:lang w:val="sr-Cyrl-CS"/>
              </w:rPr>
            </w:pPr>
            <w:r w:rsidRPr="002B7DE1">
              <w:rPr>
                <w:lang w:val="sr-Cyrl-CS"/>
              </w:rPr>
              <w:t>1.</w:t>
            </w:r>
            <w:r w:rsidR="000B2A5A">
              <w:rPr>
                <w:lang w:val="sr-Cyrl-CS"/>
              </w:rPr>
              <w:t>470</w:t>
            </w:r>
          </w:p>
        </w:tc>
        <w:tc>
          <w:tcPr>
            <w:tcW w:w="1080" w:type="dxa"/>
            <w:tcBorders>
              <w:top w:val="single" w:sz="4" w:space="0" w:color="auto"/>
              <w:bottom w:val="thickThinSmallGap" w:sz="24" w:space="0" w:color="auto"/>
            </w:tcBorders>
            <w:vAlign w:val="center"/>
          </w:tcPr>
          <w:p w:rsidR="00A968D5" w:rsidRPr="002B7DE1" w:rsidRDefault="00A968D5" w:rsidP="000B2A5A">
            <w:pPr>
              <w:jc w:val="center"/>
            </w:pPr>
            <w:r w:rsidRPr="002B7DE1">
              <w:rPr>
                <w:lang w:val="sr-Cyrl-CS"/>
              </w:rPr>
              <w:t>1</w:t>
            </w:r>
            <w:r>
              <w:rPr>
                <w:lang w:val="sr-Cyrl-CS"/>
              </w:rPr>
              <w:t>4</w:t>
            </w:r>
            <w:r w:rsidRPr="002B7DE1">
              <w:rPr>
                <w:lang w:val="sr-Cyrl-CS"/>
              </w:rPr>
              <w:t>.</w:t>
            </w:r>
            <w:r w:rsidR="000B2A5A">
              <w:rPr>
                <w:lang w:val="sr-Cyrl-CS"/>
              </w:rPr>
              <w:t>127</w:t>
            </w:r>
          </w:p>
        </w:tc>
        <w:tc>
          <w:tcPr>
            <w:tcW w:w="1620" w:type="dxa"/>
            <w:tcBorders>
              <w:top w:val="single" w:sz="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A968D5" w:rsidRPr="002B7DE1" w:rsidRDefault="00A968D5" w:rsidP="000B2A5A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8</w:t>
            </w:r>
            <w:r w:rsidR="000B2A5A">
              <w:rPr>
                <w:lang w:val="sr-Cyrl-CS"/>
              </w:rPr>
              <w:t>4</w:t>
            </w:r>
            <w:r w:rsidRPr="002B7DE1">
              <w:rPr>
                <w:lang w:val="sr-Cyrl-CS"/>
              </w:rPr>
              <w:t>,</w:t>
            </w:r>
            <w:r w:rsidR="000B2A5A">
              <w:rPr>
                <w:lang w:val="sr-Cyrl-CS"/>
              </w:rPr>
              <w:t>75</w:t>
            </w:r>
            <w:r w:rsidRPr="002B7DE1">
              <w:rPr>
                <w:lang w:val="sr-Cyrl-CS"/>
              </w:rPr>
              <w:t>%</w:t>
            </w:r>
          </w:p>
        </w:tc>
      </w:tr>
    </w:tbl>
    <w:p w:rsidR="00A968D5" w:rsidRDefault="00A968D5" w:rsidP="00A968D5">
      <w:pPr>
        <w:jc w:val="both"/>
        <w:rPr>
          <w:lang w:val="sr-Cyrl-CS"/>
        </w:rPr>
      </w:pPr>
    </w:p>
    <w:p w:rsidR="00C330E4" w:rsidRDefault="00C330E4" w:rsidP="00A968D5">
      <w:pPr>
        <w:jc w:val="both"/>
        <w:rPr>
          <w:lang w:val="sr-Cyrl-CS"/>
        </w:rPr>
      </w:pPr>
    </w:p>
    <w:p w:rsidR="00A968D5" w:rsidRPr="00EB41DC" w:rsidRDefault="00A968D5" w:rsidP="00A968D5">
      <w:pPr>
        <w:jc w:val="both"/>
        <w:rPr>
          <w:lang w:val="sr-Cyrl-CS"/>
        </w:rPr>
      </w:pPr>
      <w:r w:rsidRPr="00EB41DC">
        <w:rPr>
          <w:lang w:val="sr-Cyrl-CS"/>
        </w:rPr>
        <w:tab/>
        <w:t>Ученици су показали највеће интересовање за упис у подручјима рада:</w:t>
      </w:r>
      <w:r>
        <w:rPr>
          <w:lang w:val="sr-Cyrl-CS"/>
        </w:rPr>
        <w:t xml:space="preserve"> </w:t>
      </w:r>
      <w:r w:rsidRPr="00EB41DC">
        <w:rPr>
          <w:lang w:val="sr-Cyrl-CS"/>
        </w:rPr>
        <w:t xml:space="preserve">здравство и социјална заштита </w:t>
      </w:r>
      <w:r w:rsidRPr="002B7DE1">
        <w:rPr>
          <w:lang w:val="sr-Cyrl-CS"/>
        </w:rPr>
        <w:t>(10</w:t>
      </w:r>
      <w:r w:rsidR="0046153B">
        <w:rPr>
          <w:lang w:val="sr-Cyrl-CS"/>
        </w:rPr>
        <w:t>5</w:t>
      </w:r>
      <w:r w:rsidRPr="002B7DE1">
        <w:rPr>
          <w:lang w:val="sr-Cyrl-CS"/>
        </w:rPr>
        <w:t>,</w:t>
      </w:r>
      <w:r w:rsidR="0046153B">
        <w:rPr>
          <w:lang w:val="sr-Cyrl-CS"/>
        </w:rPr>
        <w:t>45</w:t>
      </w:r>
      <w:r w:rsidRPr="002B7DE1">
        <w:rPr>
          <w:lang w:val="sr-Cyrl-CS"/>
        </w:rPr>
        <w:t>%), саобраћај (</w:t>
      </w:r>
      <w:r w:rsidR="0046153B">
        <w:rPr>
          <w:lang w:val="sr-Cyrl-CS"/>
        </w:rPr>
        <w:t>93</w:t>
      </w:r>
      <w:r w:rsidRPr="002B7DE1">
        <w:rPr>
          <w:lang w:val="sr-Cyrl-CS"/>
        </w:rPr>
        <w:t>,</w:t>
      </w:r>
      <w:r w:rsidR="0046153B">
        <w:rPr>
          <w:lang w:val="sr-Cyrl-CS"/>
        </w:rPr>
        <w:t>15</w:t>
      </w:r>
      <w:r w:rsidRPr="002B7DE1">
        <w:rPr>
          <w:lang w:val="sr-Cyrl-CS"/>
        </w:rPr>
        <w:t>%)</w:t>
      </w:r>
      <w:r>
        <w:rPr>
          <w:lang w:val="sr-Cyrl-CS"/>
        </w:rPr>
        <w:t xml:space="preserve">, </w:t>
      </w:r>
      <w:r w:rsidRPr="00EB41DC">
        <w:rPr>
          <w:lang w:val="sr-Cyrl-CS"/>
        </w:rPr>
        <w:t>екон</w:t>
      </w:r>
      <w:r>
        <w:rPr>
          <w:lang w:val="sr-Cyrl-CS"/>
        </w:rPr>
        <w:t>омија, право и администрација (9</w:t>
      </w:r>
      <w:r w:rsidR="0046153B">
        <w:rPr>
          <w:lang w:val="sr-Cyrl-CS"/>
        </w:rPr>
        <w:t>0%</w:t>
      </w:r>
      <w:r w:rsidRPr="00EB41DC">
        <w:rPr>
          <w:lang w:val="sr-Cyrl-CS"/>
        </w:rPr>
        <w:t xml:space="preserve">), </w:t>
      </w:r>
      <w:r>
        <w:rPr>
          <w:lang w:val="sr-Cyrl-CS"/>
        </w:rPr>
        <w:t>трговина, угоститељство и туризам (9</w:t>
      </w:r>
      <w:r w:rsidR="0046153B">
        <w:rPr>
          <w:lang w:val="sr-Cyrl-CS"/>
        </w:rPr>
        <w:t>4</w:t>
      </w:r>
      <w:r w:rsidRPr="002B7DE1">
        <w:rPr>
          <w:lang w:val="sr-Cyrl-CS"/>
        </w:rPr>
        <w:t>,</w:t>
      </w:r>
      <w:r w:rsidR="0046153B">
        <w:rPr>
          <w:lang w:val="sr-Cyrl-CS"/>
        </w:rPr>
        <w:t xml:space="preserve">17%). </w:t>
      </w:r>
      <w:r w:rsidRPr="00EB41DC">
        <w:rPr>
          <w:lang w:val="sr-Cyrl-CS"/>
        </w:rPr>
        <w:t xml:space="preserve">Највише слободних места остало је у подручјима рада: текстилство и кожарство (реализација уписа је </w:t>
      </w:r>
      <w:r>
        <w:rPr>
          <w:lang w:val="sr-Cyrl-CS"/>
        </w:rPr>
        <w:t>5</w:t>
      </w:r>
      <w:r w:rsidR="0046153B">
        <w:rPr>
          <w:lang w:val="sr-Cyrl-CS"/>
        </w:rPr>
        <w:t>5</w:t>
      </w:r>
      <w:r w:rsidRPr="00EB41DC">
        <w:rPr>
          <w:lang w:val="sr-Cyrl-CS"/>
        </w:rPr>
        <w:t>,</w:t>
      </w:r>
      <w:r w:rsidR="0046153B">
        <w:rPr>
          <w:lang w:val="sr-Cyrl-CS"/>
        </w:rPr>
        <w:t>33</w:t>
      </w:r>
      <w:r w:rsidRPr="00EB41DC">
        <w:rPr>
          <w:lang w:val="sr-Cyrl-CS"/>
        </w:rPr>
        <w:t>%)</w:t>
      </w:r>
      <w:r w:rsidR="0046153B">
        <w:rPr>
          <w:lang w:val="sr-Cyrl-CS"/>
        </w:rPr>
        <w:t xml:space="preserve"> и геодезија и грађевинарство (67</w:t>
      </w:r>
      <w:r w:rsidRPr="00EB41DC">
        <w:rPr>
          <w:lang w:val="sr-Cyrl-CS"/>
        </w:rPr>
        <w:t>,</w:t>
      </w:r>
      <w:r w:rsidR="0046153B">
        <w:rPr>
          <w:lang w:val="sr-Cyrl-CS"/>
        </w:rPr>
        <w:t>68</w:t>
      </w:r>
      <w:r>
        <w:rPr>
          <w:lang w:val="sr-Cyrl-CS"/>
        </w:rPr>
        <w:t>%</w:t>
      </w:r>
      <w:r w:rsidR="0046153B">
        <w:rPr>
          <w:lang w:val="sr-Cyrl-CS"/>
        </w:rPr>
        <w:t>)</w:t>
      </w:r>
      <w:r w:rsidRPr="00EB41DC">
        <w:rPr>
          <w:lang w:val="sr-Cyrl-CS"/>
        </w:rPr>
        <w:t xml:space="preserve">. </w:t>
      </w:r>
    </w:p>
    <w:p w:rsidR="00A968D5" w:rsidRPr="00A7406A" w:rsidRDefault="00A968D5" w:rsidP="00A968D5">
      <w:pPr>
        <w:pStyle w:val="BodyText"/>
        <w:jc w:val="center"/>
      </w:pPr>
      <w:r w:rsidRPr="00A7406A">
        <w:lastRenderedPageBreak/>
        <w:t>***</w:t>
      </w:r>
    </w:p>
    <w:p w:rsidR="00A968D5" w:rsidRPr="00A7406A" w:rsidRDefault="00A968D5" w:rsidP="00A968D5">
      <w:pPr>
        <w:pStyle w:val="BodyText"/>
      </w:pPr>
    </w:p>
    <w:p w:rsidR="00A968D5" w:rsidRPr="00A7406A" w:rsidRDefault="00A968D5" w:rsidP="00A968D5">
      <w:pPr>
        <w:pStyle w:val="BodyText"/>
        <w:rPr>
          <w:lang w:val="sr-Cyrl-RS"/>
        </w:rPr>
      </w:pPr>
    </w:p>
    <w:p w:rsidR="00A968D5" w:rsidRPr="00A7406A" w:rsidRDefault="00A968D5" w:rsidP="00A968D5">
      <w:pPr>
        <w:pStyle w:val="BodyText"/>
        <w:rPr>
          <w:lang w:val="sr-Cyrl-RS"/>
        </w:rPr>
      </w:pPr>
    </w:p>
    <w:p w:rsidR="00A968D5" w:rsidRPr="00A7406A" w:rsidRDefault="00A968D5" w:rsidP="00A968D5">
      <w:pPr>
        <w:pStyle w:val="BodyText"/>
      </w:pPr>
      <w:r w:rsidRPr="00A7406A">
        <w:tab/>
      </w:r>
      <w:r w:rsidRPr="00A7406A">
        <w:rPr>
          <w:b/>
        </w:rPr>
        <w:t>Разлика у броју уписаних ученика</w:t>
      </w:r>
      <w:r w:rsidRPr="00A7406A">
        <w:t xml:space="preserve"> у први разред средњих школа за школску 201</w:t>
      </w:r>
      <w:r w:rsidR="004F7AF6" w:rsidRPr="00A7406A">
        <w:rPr>
          <w:lang w:val="en-US"/>
        </w:rPr>
        <w:t>3</w:t>
      </w:r>
      <w:r w:rsidRPr="00A7406A">
        <w:t>/201</w:t>
      </w:r>
      <w:r w:rsidR="004F7AF6" w:rsidRPr="00A7406A">
        <w:rPr>
          <w:lang w:val="en-US"/>
        </w:rPr>
        <w:t>4</w:t>
      </w:r>
      <w:r w:rsidRPr="00A7406A">
        <w:t>. и 201</w:t>
      </w:r>
      <w:r w:rsidR="004F7AF6" w:rsidRPr="00A7406A">
        <w:rPr>
          <w:lang w:val="en-US"/>
        </w:rPr>
        <w:t>4</w:t>
      </w:r>
      <w:r w:rsidRPr="00A7406A">
        <w:t>/201</w:t>
      </w:r>
      <w:r w:rsidR="004F7AF6" w:rsidRPr="00A7406A">
        <w:rPr>
          <w:lang w:val="en-US"/>
        </w:rPr>
        <w:t>5</w:t>
      </w:r>
      <w:r w:rsidRPr="00A7406A">
        <w:t>. годину дата је у следећој табели:</w:t>
      </w:r>
    </w:p>
    <w:p w:rsidR="00A968D5" w:rsidRPr="00A7406A" w:rsidRDefault="00A968D5" w:rsidP="00A968D5">
      <w:pPr>
        <w:jc w:val="both"/>
        <w:rPr>
          <w:lang w:val="sr-Cyrl-CS"/>
        </w:rPr>
      </w:pPr>
    </w:p>
    <w:tbl>
      <w:tblPr>
        <w:tblW w:w="91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5"/>
        <w:gridCol w:w="900"/>
        <w:gridCol w:w="900"/>
        <w:gridCol w:w="900"/>
        <w:gridCol w:w="720"/>
        <w:gridCol w:w="900"/>
        <w:gridCol w:w="900"/>
        <w:gridCol w:w="900"/>
        <w:gridCol w:w="900"/>
        <w:gridCol w:w="1047"/>
      </w:tblGrid>
      <w:tr w:rsidR="00A968D5" w:rsidRPr="00A7406A" w:rsidTr="00C61DAF">
        <w:trPr>
          <w:cantSplit/>
          <w:trHeight w:val="374"/>
          <w:jc w:val="center"/>
        </w:trPr>
        <w:tc>
          <w:tcPr>
            <w:tcW w:w="1125" w:type="dxa"/>
            <w:vMerge w:val="restart"/>
            <w:tcBorders>
              <w:top w:val="triple" w:sz="4" w:space="0" w:color="auto"/>
              <w:left w:val="triple" w:sz="4" w:space="0" w:color="auto"/>
            </w:tcBorders>
            <w:vAlign w:val="center"/>
          </w:tcPr>
          <w:p w:rsidR="00A968D5" w:rsidRPr="00A7406A" w:rsidRDefault="00A968D5" w:rsidP="00C61DAF">
            <w:pPr>
              <w:jc w:val="center"/>
              <w:rPr>
                <w:sz w:val="20"/>
                <w:szCs w:val="20"/>
                <w:lang w:val="sr-Cyrl-CS"/>
              </w:rPr>
            </w:pPr>
            <w:r w:rsidRPr="00A7406A">
              <w:rPr>
                <w:sz w:val="20"/>
                <w:szCs w:val="20"/>
                <w:lang w:val="sr-Cyrl-CS"/>
              </w:rPr>
              <w:t>Наставни језик</w:t>
            </w:r>
          </w:p>
        </w:tc>
        <w:tc>
          <w:tcPr>
            <w:tcW w:w="2700" w:type="dxa"/>
            <w:gridSpan w:val="3"/>
            <w:tcBorders>
              <w:top w:val="triple" w:sz="4" w:space="0" w:color="auto"/>
              <w:right w:val="double" w:sz="4" w:space="0" w:color="auto"/>
            </w:tcBorders>
            <w:vAlign w:val="center"/>
          </w:tcPr>
          <w:p w:rsidR="00A968D5" w:rsidRPr="00A7406A" w:rsidRDefault="00A968D5" w:rsidP="00C61DAF">
            <w:pPr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A7406A">
              <w:rPr>
                <w:b/>
                <w:bCs/>
                <w:sz w:val="20"/>
                <w:szCs w:val="20"/>
                <w:lang w:val="sr-Cyrl-CS"/>
              </w:rPr>
              <w:t>Шк. 201</w:t>
            </w:r>
            <w:r w:rsidR="00C61DAF" w:rsidRPr="00A7406A">
              <w:rPr>
                <w:b/>
                <w:bCs/>
                <w:sz w:val="20"/>
                <w:szCs w:val="20"/>
              </w:rPr>
              <w:t>3</w:t>
            </w:r>
            <w:r w:rsidRPr="00A7406A">
              <w:rPr>
                <w:b/>
                <w:bCs/>
                <w:sz w:val="20"/>
                <w:szCs w:val="20"/>
                <w:lang w:val="sr-Cyrl-CS"/>
              </w:rPr>
              <w:t>/201</w:t>
            </w:r>
            <w:r w:rsidR="00C61DAF" w:rsidRPr="00A7406A">
              <w:rPr>
                <w:b/>
                <w:bCs/>
                <w:sz w:val="20"/>
                <w:szCs w:val="20"/>
              </w:rPr>
              <w:t>4</w:t>
            </w:r>
            <w:r w:rsidRPr="00A7406A">
              <w:rPr>
                <w:b/>
                <w:bCs/>
                <w:sz w:val="20"/>
                <w:szCs w:val="20"/>
                <w:lang w:val="sr-Cyrl-CS"/>
              </w:rPr>
              <w:t>. год.</w:t>
            </w:r>
          </w:p>
        </w:tc>
        <w:tc>
          <w:tcPr>
            <w:tcW w:w="2520" w:type="dxa"/>
            <w:gridSpan w:val="3"/>
            <w:tcBorders>
              <w:top w:val="trip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A968D5" w:rsidRPr="00A7406A" w:rsidRDefault="00A968D5" w:rsidP="00C61DAF">
            <w:pPr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A7406A">
              <w:rPr>
                <w:b/>
                <w:bCs/>
                <w:sz w:val="20"/>
                <w:szCs w:val="20"/>
                <w:lang w:val="sr-Cyrl-CS"/>
              </w:rPr>
              <w:t>Шк. 201</w:t>
            </w:r>
            <w:r w:rsidR="00C61DAF" w:rsidRPr="00A7406A">
              <w:rPr>
                <w:b/>
                <w:bCs/>
                <w:sz w:val="20"/>
                <w:szCs w:val="20"/>
              </w:rPr>
              <w:t>4</w:t>
            </w:r>
            <w:r w:rsidRPr="00A7406A">
              <w:rPr>
                <w:b/>
                <w:bCs/>
                <w:sz w:val="20"/>
                <w:szCs w:val="20"/>
                <w:lang w:val="sr-Cyrl-CS"/>
              </w:rPr>
              <w:t>/201</w:t>
            </w:r>
            <w:r w:rsidR="00C61DAF" w:rsidRPr="00A7406A">
              <w:rPr>
                <w:b/>
                <w:bCs/>
                <w:sz w:val="20"/>
                <w:szCs w:val="20"/>
              </w:rPr>
              <w:t>5</w:t>
            </w:r>
            <w:r w:rsidRPr="00A7406A">
              <w:rPr>
                <w:b/>
                <w:bCs/>
                <w:sz w:val="20"/>
                <w:szCs w:val="20"/>
                <w:lang w:val="sr-Cyrl-CS"/>
              </w:rPr>
              <w:t>. год.</w:t>
            </w:r>
          </w:p>
        </w:tc>
        <w:tc>
          <w:tcPr>
            <w:tcW w:w="2847" w:type="dxa"/>
            <w:gridSpan w:val="3"/>
            <w:tcBorders>
              <w:top w:val="triple" w:sz="4" w:space="0" w:color="auto"/>
              <w:left w:val="double" w:sz="4" w:space="0" w:color="auto"/>
              <w:right w:val="triple" w:sz="4" w:space="0" w:color="auto"/>
            </w:tcBorders>
            <w:vAlign w:val="center"/>
          </w:tcPr>
          <w:p w:rsidR="00A968D5" w:rsidRPr="00A7406A" w:rsidRDefault="00A968D5" w:rsidP="00C61DAF">
            <w:pPr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A7406A">
              <w:rPr>
                <w:b/>
                <w:bCs/>
                <w:sz w:val="20"/>
                <w:szCs w:val="20"/>
                <w:lang w:val="sr-Cyrl-CS"/>
              </w:rPr>
              <w:t>Разлика</w:t>
            </w:r>
          </w:p>
        </w:tc>
      </w:tr>
      <w:tr w:rsidR="00C61DAF" w:rsidRPr="00A7406A" w:rsidTr="00C61DAF">
        <w:trPr>
          <w:cantSplit/>
          <w:jc w:val="center"/>
        </w:trPr>
        <w:tc>
          <w:tcPr>
            <w:tcW w:w="1125" w:type="dxa"/>
            <w:vMerge/>
            <w:tcBorders>
              <w:left w:val="triple" w:sz="4" w:space="0" w:color="auto"/>
              <w:bottom w:val="double" w:sz="4" w:space="0" w:color="auto"/>
            </w:tcBorders>
            <w:vAlign w:val="center"/>
          </w:tcPr>
          <w:p w:rsidR="00C61DAF" w:rsidRPr="00A7406A" w:rsidRDefault="00C61DAF" w:rsidP="00C61DAF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900" w:type="dxa"/>
            <w:tcBorders>
              <w:bottom w:val="double" w:sz="4" w:space="0" w:color="auto"/>
            </w:tcBorders>
            <w:vAlign w:val="center"/>
          </w:tcPr>
          <w:p w:rsidR="00C61DAF" w:rsidRPr="00A7406A" w:rsidRDefault="00C61DAF" w:rsidP="00C61DAF">
            <w:pPr>
              <w:jc w:val="center"/>
              <w:rPr>
                <w:sz w:val="20"/>
                <w:szCs w:val="20"/>
                <w:lang w:val="sr-Cyrl-CS"/>
              </w:rPr>
            </w:pPr>
            <w:r w:rsidRPr="00A7406A">
              <w:rPr>
                <w:sz w:val="20"/>
                <w:szCs w:val="20"/>
                <w:lang w:val="sr-Cyrl-CS"/>
              </w:rPr>
              <w:t>3 год.</w:t>
            </w:r>
          </w:p>
        </w:tc>
        <w:tc>
          <w:tcPr>
            <w:tcW w:w="900" w:type="dxa"/>
            <w:tcBorders>
              <w:bottom w:val="double" w:sz="4" w:space="0" w:color="auto"/>
            </w:tcBorders>
            <w:vAlign w:val="center"/>
          </w:tcPr>
          <w:p w:rsidR="00C61DAF" w:rsidRPr="00A7406A" w:rsidRDefault="00C61DAF" w:rsidP="00C61DAF">
            <w:pPr>
              <w:jc w:val="center"/>
              <w:rPr>
                <w:sz w:val="20"/>
                <w:szCs w:val="20"/>
                <w:lang w:val="sr-Cyrl-CS"/>
              </w:rPr>
            </w:pPr>
            <w:r w:rsidRPr="00A7406A">
              <w:rPr>
                <w:sz w:val="20"/>
                <w:szCs w:val="20"/>
                <w:lang w:val="sr-Cyrl-CS"/>
              </w:rPr>
              <w:t>4 год.</w:t>
            </w:r>
          </w:p>
        </w:tc>
        <w:tc>
          <w:tcPr>
            <w:tcW w:w="900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C61DAF" w:rsidRPr="00A7406A" w:rsidRDefault="00C61DAF" w:rsidP="00C61DAF">
            <w:pPr>
              <w:jc w:val="center"/>
              <w:rPr>
                <w:sz w:val="20"/>
                <w:szCs w:val="20"/>
                <w:lang w:val="sr-Cyrl-CS"/>
              </w:rPr>
            </w:pPr>
            <w:r w:rsidRPr="00A7406A">
              <w:rPr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720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C61DAF" w:rsidRPr="00A7406A" w:rsidRDefault="00C61DAF" w:rsidP="00C61DAF">
            <w:pPr>
              <w:jc w:val="center"/>
              <w:rPr>
                <w:sz w:val="20"/>
                <w:szCs w:val="20"/>
                <w:lang w:val="sr-Cyrl-CS"/>
              </w:rPr>
            </w:pPr>
            <w:r w:rsidRPr="00A7406A">
              <w:rPr>
                <w:sz w:val="20"/>
                <w:szCs w:val="20"/>
                <w:lang w:val="sr-Cyrl-CS"/>
              </w:rPr>
              <w:t>3 год.</w:t>
            </w:r>
          </w:p>
        </w:tc>
        <w:tc>
          <w:tcPr>
            <w:tcW w:w="900" w:type="dxa"/>
            <w:tcBorders>
              <w:bottom w:val="double" w:sz="4" w:space="0" w:color="auto"/>
            </w:tcBorders>
            <w:vAlign w:val="center"/>
          </w:tcPr>
          <w:p w:rsidR="00C61DAF" w:rsidRPr="00A7406A" w:rsidRDefault="00C61DAF" w:rsidP="00C61DAF">
            <w:pPr>
              <w:jc w:val="center"/>
              <w:rPr>
                <w:sz w:val="20"/>
                <w:szCs w:val="20"/>
                <w:lang w:val="sr-Cyrl-CS"/>
              </w:rPr>
            </w:pPr>
            <w:r w:rsidRPr="00A7406A">
              <w:rPr>
                <w:sz w:val="20"/>
                <w:szCs w:val="20"/>
                <w:lang w:val="sr-Cyrl-CS"/>
              </w:rPr>
              <w:t>4 год.</w:t>
            </w:r>
          </w:p>
        </w:tc>
        <w:tc>
          <w:tcPr>
            <w:tcW w:w="900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C61DAF" w:rsidRPr="00A7406A" w:rsidRDefault="00C61DAF" w:rsidP="00C61DAF">
            <w:pPr>
              <w:jc w:val="center"/>
              <w:rPr>
                <w:sz w:val="20"/>
                <w:szCs w:val="20"/>
                <w:lang w:val="sr-Cyrl-CS"/>
              </w:rPr>
            </w:pPr>
            <w:r w:rsidRPr="00A7406A">
              <w:rPr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900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C61DAF" w:rsidRPr="00A7406A" w:rsidRDefault="00C61DAF" w:rsidP="00C61DAF">
            <w:pPr>
              <w:jc w:val="center"/>
              <w:rPr>
                <w:sz w:val="20"/>
                <w:szCs w:val="20"/>
                <w:lang w:val="sr-Cyrl-CS"/>
              </w:rPr>
            </w:pPr>
            <w:r w:rsidRPr="00A7406A">
              <w:rPr>
                <w:sz w:val="20"/>
                <w:szCs w:val="20"/>
                <w:lang w:val="sr-Cyrl-CS"/>
              </w:rPr>
              <w:t>3 год.</w:t>
            </w:r>
          </w:p>
        </w:tc>
        <w:tc>
          <w:tcPr>
            <w:tcW w:w="900" w:type="dxa"/>
            <w:tcBorders>
              <w:bottom w:val="double" w:sz="4" w:space="0" w:color="auto"/>
            </w:tcBorders>
            <w:vAlign w:val="center"/>
          </w:tcPr>
          <w:p w:rsidR="00C61DAF" w:rsidRPr="00A7406A" w:rsidRDefault="00C61DAF" w:rsidP="00C61DAF">
            <w:pPr>
              <w:jc w:val="center"/>
              <w:rPr>
                <w:sz w:val="20"/>
                <w:szCs w:val="20"/>
                <w:lang w:val="sr-Cyrl-CS"/>
              </w:rPr>
            </w:pPr>
            <w:r w:rsidRPr="00A7406A">
              <w:rPr>
                <w:sz w:val="20"/>
                <w:szCs w:val="20"/>
                <w:lang w:val="sr-Cyrl-CS"/>
              </w:rPr>
              <w:t>4 год.</w:t>
            </w:r>
          </w:p>
        </w:tc>
        <w:tc>
          <w:tcPr>
            <w:tcW w:w="1047" w:type="dxa"/>
            <w:tcBorders>
              <w:bottom w:val="double" w:sz="4" w:space="0" w:color="auto"/>
              <w:right w:val="triple" w:sz="4" w:space="0" w:color="auto"/>
            </w:tcBorders>
            <w:vAlign w:val="center"/>
          </w:tcPr>
          <w:p w:rsidR="00C61DAF" w:rsidRPr="00A7406A" w:rsidRDefault="00C61DAF" w:rsidP="00C61DAF">
            <w:pPr>
              <w:jc w:val="center"/>
              <w:rPr>
                <w:sz w:val="20"/>
                <w:szCs w:val="20"/>
                <w:lang w:val="sr-Cyrl-CS"/>
              </w:rPr>
            </w:pPr>
            <w:r w:rsidRPr="00A7406A">
              <w:rPr>
                <w:sz w:val="20"/>
                <w:szCs w:val="20"/>
                <w:lang w:val="sr-Cyrl-CS"/>
              </w:rPr>
              <w:t>укупно</w:t>
            </w:r>
          </w:p>
        </w:tc>
      </w:tr>
      <w:tr w:rsidR="00C61DAF" w:rsidRPr="00A7406A" w:rsidTr="00C61DAF">
        <w:trPr>
          <w:jc w:val="center"/>
        </w:trPr>
        <w:tc>
          <w:tcPr>
            <w:tcW w:w="1125" w:type="dxa"/>
            <w:tcBorders>
              <w:top w:val="double" w:sz="4" w:space="0" w:color="auto"/>
              <w:left w:val="triple" w:sz="4" w:space="0" w:color="auto"/>
            </w:tcBorders>
            <w:vAlign w:val="center"/>
          </w:tcPr>
          <w:p w:rsidR="00C61DAF" w:rsidRPr="00A7406A" w:rsidRDefault="00C61DAF" w:rsidP="00C61DAF">
            <w:pPr>
              <w:jc w:val="center"/>
              <w:rPr>
                <w:sz w:val="20"/>
                <w:szCs w:val="20"/>
                <w:lang w:val="sr-Cyrl-CS"/>
              </w:rPr>
            </w:pPr>
            <w:r w:rsidRPr="00A7406A">
              <w:rPr>
                <w:sz w:val="20"/>
                <w:szCs w:val="20"/>
                <w:lang w:val="sr-Cyrl-CS"/>
              </w:rPr>
              <w:t>Српски језик</w:t>
            </w:r>
          </w:p>
        </w:tc>
        <w:tc>
          <w:tcPr>
            <w:tcW w:w="900" w:type="dxa"/>
            <w:tcBorders>
              <w:top w:val="double" w:sz="4" w:space="0" w:color="auto"/>
            </w:tcBorders>
            <w:vAlign w:val="center"/>
          </w:tcPr>
          <w:p w:rsidR="00C61DAF" w:rsidRPr="00A7406A" w:rsidRDefault="00C61DAF" w:rsidP="00C61DAF">
            <w:pPr>
              <w:jc w:val="center"/>
              <w:rPr>
                <w:sz w:val="22"/>
                <w:szCs w:val="22"/>
                <w:lang w:val="sr-Cyrl-CS"/>
              </w:rPr>
            </w:pPr>
            <w:r w:rsidRPr="00A7406A">
              <w:rPr>
                <w:sz w:val="22"/>
                <w:szCs w:val="22"/>
                <w:lang w:val="sr-Cyrl-CS"/>
              </w:rPr>
              <w:t>2.426</w:t>
            </w:r>
          </w:p>
        </w:tc>
        <w:tc>
          <w:tcPr>
            <w:tcW w:w="900" w:type="dxa"/>
            <w:tcBorders>
              <w:top w:val="double" w:sz="4" w:space="0" w:color="auto"/>
            </w:tcBorders>
            <w:vAlign w:val="center"/>
          </w:tcPr>
          <w:p w:rsidR="00C61DAF" w:rsidRPr="00A7406A" w:rsidRDefault="00C61DAF" w:rsidP="00C61DAF">
            <w:pPr>
              <w:jc w:val="center"/>
              <w:rPr>
                <w:sz w:val="22"/>
                <w:szCs w:val="22"/>
                <w:lang w:val="sr-Cyrl-CS"/>
              </w:rPr>
            </w:pPr>
            <w:r w:rsidRPr="00A7406A">
              <w:rPr>
                <w:sz w:val="22"/>
                <w:szCs w:val="22"/>
                <w:lang w:val="sr-Cyrl-CS"/>
              </w:rPr>
              <w:t>13.300</w:t>
            </w:r>
          </w:p>
        </w:tc>
        <w:tc>
          <w:tcPr>
            <w:tcW w:w="900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C61DAF" w:rsidRPr="00A7406A" w:rsidRDefault="00C61DAF" w:rsidP="00C61DAF">
            <w:pPr>
              <w:jc w:val="center"/>
              <w:rPr>
                <w:sz w:val="22"/>
                <w:szCs w:val="22"/>
                <w:lang w:val="sr-Cyrl-CS"/>
              </w:rPr>
            </w:pPr>
            <w:r w:rsidRPr="00A7406A">
              <w:rPr>
                <w:sz w:val="22"/>
                <w:szCs w:val="22"/>
                <w:lang w:val="sr-Cyrl-CS"/>
              </w:rPr>
              <w:t>15.726</w:t>
            </w:r>
          </w:p>
        </w:tc>
        <w:tc>
          <w:tcPr>
            <w:tcW w:w="720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C61DAF" w:rsidRPr="00A7406A" w:rsidRDefault="00C61DAF" w:rsidP="00C61DAF">
            <w:pPr>
              <w:jc w:val="center"/>
              <w:rPr>
                <w:sz w:val="22"/>
                <w:szCs w:val="22"/>
              </w:rPr>
            </w:pPr>
            <w:r w:rsidRPr="00A7406A">
              <w:rPr>
                <w:sz w:val="22"/>
                <w:szCs w:val="22"/>
                <w:lang w:val="sr-Cyrl-CS"/>
              </w:rPr>
              <w:t>2.</w:t>
            </w:r>
            <w:r w:rsidRPr="00A7406A">
              <w:rPr>
                <w:sz w:val="22"/>
                <w:szCs w:val="22"/>
              </w:rPr>
              <w:t>325</w:t>
            </w:r>
          </w:p>
        </w:tc>
        <w:tc>
          <w:tcPr>
            <w:tcW w:w="900" w:type="dxa"/>
            <w:tcBorders>
              <w:top w:val="double" w:sz="4" w:space="0" w:color="auto"/>
            </w:tcBorders>
            <w:vAlign w:val="center"/>
          </w:tcPr>
          <w:p w:rsidR="00C61DAF" w:rsidRPr="00A7406A" w:rsidRDefault="00C61DAF" w:rsidP="00C61DAF">
            <w:pPr>
              <w:jc w:val="center"/>
              <w:rPr>
                <w:sz w:val="22"/>
                <w:szCs w:val="22"/>
              </w:rPr>
            </w:pPr>
            <w:r w:rsidRPr="00A7406A">
              <w:rPr>
                <w:sz w:val="22"/>
                <w:szCs w:val="22"/>
                <w:lang w:val="sr-Cyrl-CS"/>
              </w:rPr>
              <w:t>1</w:t>
            </w:r>
            <w:r w:rsidRPr="00A7406A">
              <w:rPr>
                <w:sz w:val="22"/>
                <w:szCs w:val="22"/>
              </w:rPr>
              <w:t>2</w:t>
            </w:r>
            <w:r w:rsidRPr="00A7406A">
              <w:rPr>
                <w:sz w:val="22"/>
                <w:szCs w:val="22"/>
                <w:lang w:val="sr-Cyrl-CS"/>
              </w:rPr>
              <w:t>.</w:t>
            </w:r>
            <w:r w:rsidRPr="00A7406A">
              <w:rPr>
                <w:sz w:val="22"/>
                <w:szCs w:val="22"/>
              </w:rPr>
              <w:t>657</w:t>
            </w:r>
          </w:p>
        </w:tc>
        <w:tc>
          <w:tcPr>
            <w:tcW w:w="900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C61DAF" w:rsidRPr="00A7406A" w:rsidRDefault="00C61DAF" w:rsidP="00C61DAF">
            <w:pPr>
              <w:jc w:val="center"/>
              <w:rPr>
                <w:sz w:val="22"/>
                <w:szCs w:val="22"/>
              </w:rPr>
            </w:pPr>
            <w:r w:rsidRPr="00A7406A">
              <w:rPr>
                <w:sz w:val="22"/>
                <w:szCs w:val="22"/>
                <w:lang w:val="sr-Cyrl-CS"/>
              </w:rPr>
              <w:t>1</w:t>
            </w:r>
            <w:r w:rsidRPr="00A7406A">
              <w:rPr>
                <w:sz w:val="22"/>
                <w:szCs w:val="22"/>
              </w:rPr>
              <w:t>4</w:t>
            </w:r>
            <w:r w:rsidRPr="00A7406A">
              <w:rPr>
                <w:sz w:val="22"/>
                <w:szCs w:val="22"/>
                <w:lang w:val="sr-Cyrl-CS"/>
              </w:rPr>
              <w:t>.</w:t>
            </w:r>
            <w:r w:rsidRPr="00A7406A">
              <w:rPr>
                <w:sz w:val="22"/>
                <w:szCs w:val="22"/>
              </w:rPr>
              <w:t>982</w:t>
            </w:r>
          </w:p>
        </w:tc>
        <w:tc>
          <w:tcPr>
            <w:tcW w:w="900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C61DAF" w:rsidRPr="00A7406A" w:rsidRDefault="00C61DAF" w:rsidP="00C61DAF">
            <w:pPr>
              <w:jc w:val="center"/>
              <w:rPr>
                <w:sz w:val="22"/>
                <w:szCs w:val="22"/>
              </w:rPr>
            </w:pPr>
            <w:r w:rsidRPr="00A7406A">
              <w:rPr>
                <w:sz w:val="22"/>
                <w:szCs w:val="22"/>
                <w:lang w:val="sr-Cyrl-CS"/>
              </w:rPr>
              <w:t>-</w:t>
            </w:r>
            <w:r w:rsidRPr="00A7406A">
              <w:rPr>
                <w:sz w:val="22"/>
                <w:szCs w:val="22"/>
              </w:rPr>
              <w:t>101</w:t>
            </w:r>
          </w:p>
        </w:tc>
        <w:tc>
          <w:tcPr>
            <w:tcW w:w="900" w:type="dxa"/>
            <w:tcBorders>
              <w:top w:val="double" w:sz="4" w:space="0" w:color="auto"/>
            </w:tcBorders>
            <w:vAlign w:val="center"/>
          </w:tcPr>
          <w:p w:rsidR="00C61DAF" w:rsidRPr="00A7406A" w:rsidRDefault="00C61DAF" w:rsidP="00C61DAF">
            <w:pPr>
              <w:jc w:val="center"/>
              <w:rPr>
                <w:sz w:val="22"/>
                <w:szCs w:val="22"/>
              </w:rPr>
            </w:pPr>
            <w:r w:rsidRPr="00A7406A">
              <w:rPr>
                <w:sz w:val="22"/>
                <w:szCs w:val="22"/>
                <w:lang w:val="sr-Cyrl-CS"/>
              </w:rPr>
              <w:t>-</w:t>
            </w:r>
            <w:r w:rsidRPr="00A7406A">
              <w:rPr>
                <w:sz w:val="22"/>
                <w:szCs w:val="22"/>
              </w:rPr>
              <w:t>643</w:t>
            </w:r>
          </w:p>
        </w:tc>
        <w:tc>
          <w:tcPr>
            <w:tcW w:w="1047" w:type="dxa"/>
            <w:tcBorders>
              <w:top w:val="double" w:sz="4" w:space="0" w:color="auto"/>
              <w:right w:val="triple" w:sz="4" w:space="0" w:color="auto"/>
            </w:tcBorders>
            <w:vAlign w:val="center"/>
          </w:tcPr>
          <w:p w:rsidR="00C61DAF" w:rsidRPr="00A7406A" w:rsidRDefault="00C61DAF" w:rsidP="00C61DAF">
            <w:pPr>
              <w:jc w:val="center"/>
              <w:rPr>
                <w:sz w:val="22"/>
                <w:szCs w:val="22"/>
              </w:rPr>
            </w:pPr>
            <w:r w:rsidRPr="00A7406A">
              <w:rPr>
                <w:sz w:val="22"/>
                <w:szCs w:val="22"/>
                <w:lang w:val="sr-Cyrl-CS"/>
              </w:rPr>
              <w:t>-</w:t>
            </w:r>
            <w:r w:rsidRPr="00A7406A">
              <w:rPr>
                <w:sz w:val="22"/>
                <w:szCs w:val="22"/>
              </w:rPr>
              <w:t>744</w:t>
            </w:r>
          </w:p>
        </w:tc>
      </w:tr>
      <w:tr w:rsidR="00C61DAF" w:rsidRPr="00A7406A" w:rsidTr="00C61DAF">
        <w:trPr>
          <w:jc w:val="center"/>
        </w:trPr>
        <w:tc>
          <w:tcPr>
            <w:tcW w:w="1125" w:type="dxa"/>
            <w:tcBorders>
              <w:left w:val="triple" w:sz="4" w:space="0" w:color="auto"/>
            </w:tcBorders>
            <w:vAlign w:val="center"/>
          </w:tcPr>
          <w:p w:rsidR="00C61DAF" w:rsidRPr="00A7406A" w:rsidRDefault="00C61DAF" w:rsidP="00C61DAF">
            <w:pPr>
              <w:jc w:val="center"/>
              <w:rPr>
                <w:sz w:val="20"/>
                <w:szCs w:val="20"/>
                <w:lang w:val="sr-Cyrl-CS"/>
              </w:rPr>
            </w:pPr>
            <w:r w:rsidRPr="00A7406A">
              <w:rPr>
                <w:sz w:val="20"/>
                <w:szCs w:val="20"/>
                <w:lang w:val="sr-Cyrl-CS"/>
              </w:rPr>
              <w:t>Мађарски језик</w:t>
            </w:r>
          </w:p>
        </w:tc>
        <w:tc>
          <w:tcPr>
            <w:tcW w:w="900" w:type="dxa"/>
            <w:vAlign w:val="center"/>
          </w:tcPr>
          <w:p w:rsidR="00C61DAF" w:rsidRPr="00A7406A" w:rsidRDefault="00C61DAF" w:rsidP="00C61DAF">
            <w:pPr>
              <w:jc w:val="center"/>
              <w:rPr>
                <w:sz w:val="22"/>
                <w:szCs w:val="22"/>
                <w:lang w:val="sr-Cyrl-CS"/>
              </w:rPr>
            </w:pPr>
            <w:r w:rsidRPr="00A7406A">
              <w:rPr>
                <w:sz w:val="22"/>
                <w:szCs w:val="22"/>
                <w:lang w:val="sr-Cyrl-CS"/>
              </w:rPr>
              <w:t>253</w:t>
            </w:r>
          </w:p>
        </w:tc>
        <w:tc>
          <w:tcPr>
            <w:tcW w:w="900" w:type="dxa"/>
            <w:vAlign w:val="center"/>
          </w:tcPr>
          <w:p w:rsidR="00C61DAF" w:rsidRPr="00A7406A" w:rsidRDefault="00C61DAF" w:rsidP="00C61DAF">
            <w:pPr>
              <w:jc w:val="center"/>
              <w:rPr>
                <w:sz w:val="22"/>
                <w:szCs w:val="22"/>
                <w:lang w:val="sr-Cyrl-CS"/>
              </w:rPr>
            </w:pPr>
            <w:r w:rsidRPr="00A7406A">
              <w:rPr>
                <w:sz w:val="22"/>
                <w:szCs w:val="22"/>
                <w:lang w:val="sr-Cyrl-CS"/>
              </w:rPr>
              <w:t>1.426</w:t>
            </w:r>
          </w:p>
        </w:tc>
        <w:tc>
          <w:tcPr>
            <w:tcW w:w="900" w:type="dxa"/>
            <w:tcBorders>
              <w:right w:val="double" w:sz="4" w:space="0" w:color="auto"/>
            </w:tcBorders>
            <w:vAlign w:val="center"/>
          </w:tcPr>
          <w:p w:rsidR="00C61DAF" w:rsidRPr="00A7406A" w:rsidRDefault="00C61DAF" w:rsidP="00C61DAF">
            <w:pPr>
              <w:jc w:val="center"/>
              <w:rPr>
                <w:sz w:val="22"/>
                <w:szCs w:val="22"/>
                <w:lang w:val="sr-Cyrl-CS"/>
              </w:rPr>
            </w:pPr>
            <w:r w:rsidRPr="00A7406A">
              <w:rPr>
                <w:sz w:val="22"/>
                <w:szCs w:val="22"/>
                <w:lang w:val="sr-Cyrl-CS"/>
              </w:rPr>
              <w:t>1.679</w:t>
            </w:r>
          </w:p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C61DAF" w:rsidRPr="00A7406A" w:rsidRDefault="00C61DAF" w:rsidP="00C61DAF">
            <w:pPr>
              <w:jc w:val="center"/>
              <w:rPr>
                <w:sz w:val="22"/>
                <w:szCs w:val="22"/>
              </w:rPr>
            </w:pPr>
            <w:r w:rsidRPr="00A7406A">
              <w:rPr>
                <w:sz w:val="22"/>
                <w:szCs w:val="22"/>
                <w:lang w:val="sr-Cyrl-CS"/>
              </w:rPr>
              <w:t>2</w:t>
            </w:r>
            <w:r w:rsidRPr="00A7406A">
              <w:rPr>
                <w:sz w:val="22"/>
                <w:szCs w:val="22"/>
              </w:rPr>
              <w:t>81</w:t>
            </w:r>
          </w:p>
        </w:tc>
        <w:tc>
          <w:tcPr>
            <w:tcW w:w="900" w:type="dxa"/>
            <w:vAlign w:val="center"/>
          </w:tcPr>
          <w:p w:rsidR="00C61DAF" w:rsidRPr="00A7406A" w:rsidRDefault="00C61DAF" w:rsidP="00C61DAF">
            <w:pPr>
              <w:jc w:val="center"/>
              <w:rPr>
                <w:sz w:val="22"/>
                <w:szCs w:val="22"/>
              </w:rPr>
            </w:pPr>
            <w:r w:rsidRPr="00A7406A">
              <w:rPr>
                <w:sz w:val="22"/>
                <w:szCs w:val="22"/>
                <w:lang w:val="sr-Cyrl-CS"/>
              </w:rPr>
              <w:t>1.</w:t>
            </w:r>
            <w:r w:rsidRPr="00A7406A">
              <w:rPr>
                <w:sz w:val="22"/>
                <w:szCs w:val="22"/>
              </w:rPr>
              <w:t>263</w:t>
            </w:r>
          </w:p>
        </w:tc>
        <w:tc>
          <w:tcPr>
            <w:tcW w:w="900" w:type="dxa"/>
            <w:tcBorders>
              <w:right w:val="double" w:sz="4" w:space="0" w:color="auto"/>
            </w:tcBorders>
            <w:vAlign w:val="center"/>
          </w:tcPr>
          <w:p w:rsidR="00C61DAF" w:rsidRPr="00A7406A" w:rsidRDefault="00C61DAF" w:rsidP="00C61DAF">
            <w:pPr>
              <w:jc w:val="center"/>
              <w:rPr>
                <w:sz w:val="22"/>
                <w:szCs w:val="22"/>
              </w:rPr>
            </w:pPr>
            <w:r w:rsidRPr="00A7406A">
              <w:rPr>
                <w:sz w:val="22"/>
                <w:szCs w:val="22"/>
                <w:lang w:val="sr-Cyrl-CS"/>
              </w:rPr>
              <w:t>1.</w:t>
            </w:r>
            <w:r w:rsidRPr="00A7406A">
              <w:rPr>
                <w:sz w:val="22"/>
                <w:szCs w:val="22"/>
              </w:rPr>
              <w:t>544</w:t>
            </w:r>
          </w:p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C61DAF" w:rsidRPr="00A7406A" w:rsidRDefault="00C61DAF" w:rsidP="00C61DAF">
            <w:pPr>
              <w:jc w:val="center"/>
              <w:rPr>
                <w:sz w:val="22"/>
                <w:szCs w:val="22"/>
              </w:rPr>
            </w:pPr>
            <w:r w:rsidRPr="00A7406A">
              <w:rPr>
                <w:sz w:val="22"/>
                <w:szCs w:val="22"/>
              </w:rPr>
              <w:t>+28</w:t>
            </w:r>
          </w:p>
        </w:tc>
        <w:tc>
          <w:tcPr>
            <w:tcW w:w="900" w:type="dxa"/>
            <w:vAlign w:val="center"/>
          </w:tcPr>
          <w:p w:rsidR="00C61DAF" w:rsidRPr="00A7406A" w:rsidRDefault="00C61DAF" w:rsidP="00C61DAF">
            <w:pPr>
              <w:jc w:val="center"/>
              <w:rPr>
                <w:sz w:val="22"/>
                <w:szCs w:val="22"/>
              </w:rPr>
            </w:pPr>
            <w:r w:rsidRPr="00A7406A">
              <w:rPr>
                <w:sz w:val="22"/>
                <w:szCs w:val="22"/>
                <w:lang w:val="sr-Cyrl-CS"/>
              </w:rPr>
              <w:t>-</w:t>
            </w:r>
            <w:r w:rsidRPr="00A7406A">
              <w:rPr>
                <w:sz w:val="22"/>
                <w:szCs w:val="22"/>
              </w:rPr>
              <w:t>163</w:t>
            </w:r>
          </w:p>
        </w:tc>
        <w:tc>
          <w:tcPr>
            <w:tcW w:w="1047" w:type="dxa"/>
            <w:tcBorders>
              <w:right w:val="triple" w:sz="4" w:space="0" w:color="auto"/>
            </w:tcBorders>
            <w:vAlign w:val="center"/>
          </w:tcPr>
          <w:p w:rsidR="00C61DAF" w:rsidRPr="00A7406A" w:rsidRDefault="00C61DAF" w:rsidP="00C61DAF">
            <w:pPr>
              <w:jc w:val="center"/>
              <w:rPr>
                <w:sz w:val="22"/>
                <w:szCs w:val="22"/>
              </w:rPr>
            </w:pPr>
            <w:r w:rsidRPr="00A7406A">
              <w:rPr>
                <w:sz w:val="22"/>
                <w:szCs w:val="22"/>
                <w:lang w:val="sr-Cyrl-CS"/>
              </w:rPr>
              <w:t>-</w:t>
            </w:r>
            <w:r w:rsidRPr="00A7406A">
              <w:rPr>
                <w:sz w:val="22"/>
                <w:szCs w:val="22"/>
              </w:rPr>
              <w:t>135</w:t>
            </w:r>
          </w:p>
        </w:tc>
      </w:tr>
      <w:tr w:rsidR="00C61DAF" w:rsidRPr="00A7406A" w:rsidTr="00C61DAF">
        <w:trPr>
          <w:jc w:val="center"/>
        </w:trPr>
        <w:tc>
          <w:tcPr>
            <w:tcW w:w="1125" w:type="dxa"/>
            <w:tcBorders>
              <w:left w:val="triple" w:sz="4" w:space="0" w:color="auto"/>
            </w:tcBorders>
            <w:vAlign w:val="center"/>
          </w:tcPr>
          <w:p w:rsidR="00C61DAF" w:rsidRPr="00A7406A" w:rsidRDefault="00C61DAF" w:rsidP="00C61DAF">
            <w:pPr>
              <w:jc w:val="center"/>
              <w:rPr>
                <w:sz w:val="20"/>
                <w:szCs w:val="20"/>
                <w:lang w:val="sr-Cyrl-CS"/>
              </w:rPr>
            </w:pPr>
            <w:r w:rsidRPr="00A7406A">
              <w:rPr>
                <w:sz w:val="20"/>
                <w:szCs w:val="20"/>
                <w:lang w:val="sr-Cyrl-CS"/>
              </w:rPr>
              <w:t>Словачки језик</w:t>
            </w:r>
          </w:p>
        </w:tc>
        <w:tc>
          <w:tcPr>
            <w:tcW w:w="900" w:type="dxa"/>
            <w:vAlign w:val="center"/>
          </w:tcPr>
          <w:p w:rsidR="00C61DAF" w:rsidRPr="00A7406A" w:rsidRDefault="00C61DAF" w:rsidP="00C61DAF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900" w:type="dxa"/>
            <w:vAlign w:val="center"/>
          </w:tcPr>
          <w:p w:rsidR="00C61DAF" w:rsidRPr="00A7406A" w:rsidRDefault="00C61DAF" w:rsidP="00C61DAF">
            <w:pPr>
              <w:jc w:val="center"/>
              <w:rPr>
                <w:sz w:val="22"/>
                <w:szCs w:val="22"/>
                <w:lang w:val="sr-Cyrl-CS"/>
              </w:rPr>
            </w:pPr>
            <w:r w:rsidRPr="00A7406A">
              <w:rPr>
                <w:sz w:val="22"/>
                <w:szCs w:val="22"/>
                <w:lang w:val="sr-Cyrl-CS"/>
              </w:rPr>
              <w:t>100</w:t>
            </w:r>
          </w:p>
        </w:tc>
        <w:tc>
          <w:tcPr>
            <w:tcW w:w="900" w:type="dxa"/>
            <w:tcBorders>
              <w:right w:val="double" w:sz="4" w:space="0" w:color="auto"/>
            </w:tcBorders>
            <w:vAlign w:val="center"/>
          </w:tcPr>
          <w:p w:rsidR="00C61DAF" w:rsidRPr="00A7406A" w:rsidRDefault="00C61DAF" w:rsidP="00C61DAF">
            <w:pPr>
              <w:jc w:val="center"/>
              <w:rPr>
                <w:sz w:val="22"/>
                <w:szCs w:val="22"/>
                <w:lang w:val="sr-Cyrl-CS"/>
              </w:rPr>
            </w:pPr>
            <w:r w:rsidRPr="00A7406A">
              <w:rPr>
                <w:sz w:val="22"/>
                <w:szCs w:val="22"/>
                <w:lang w:val="sr-Cyrl-CS"/>
              </w:rPr>
              <w:t>100</w:t>
            </w:r>
          </w:p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C61DAF" w:rsidRPr="00A7406A" w:rsidRDefault="00C61DAF" w:rsidP="00C61DAF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900" w:type="dxa"/>
            <w:vAlign w:val="center"/>
          </w:tcPr>
          <w:p w:rsidR="00C61DAF" w:rsidRPr="00A7406A" w:rsidRDefault="00C61DAF" w:rsidP="00C61DAF">
            <w:pPr>
              <w:jc w:val="center"/>
              <w:rPr>
                <w:sz w:val="22"/>
                <w:szCs w:val="22"/>
              </w:rPr>
            </w:pPr>
            <w:r w:rsidRPr="00A7406A">
              <w:rPr>
                <w:sz w:val="22"/>
                <w:szCs w:val="22"/>
                <w:lang w:val="sr-Cyrl-CS"/>
              </w:rPr>
              <w:t>10</w:t>
            </w:r>
            <w:r w:rsidRPr="00A7406A">
              <w:rPr>
                <w:sz w:val="22"/>
                <w:szCs w:val="22"/>
              </w:rPr>
              <w:t>3</w:t>
            </w:r>
          </w:p>
        </w:tc>
        <w:tc>
          <w:tcPr>
            <w:tcW w:w="900" w:type="dxa"/>
            <w:tcBorders>
              <w:right w:val="double" w:sz="4" w:space="0" w:color="auto"/>
            </w:tcBorders>
            <w:vAlign w:val="center"/>
          </w:tcPr>
          <w:p w:rsidR="00C61DAF" w:rsidRPr="00A7406A" w:rsidRDefault="00C61DAF" w:rsidP="00C61DAF">
            <w:pPr>
              <w:jc w:val="center"/>
              <w:rPr>
                <w:sz w:val="22"/>
                <w:szCs w:val="22"/>
              </w:rPr>
            </w:pPr>
            <w:r w:rsidRPr="00A7406A">
              <w:rPr>
                <w:sz w:val="22"/>
                <w:szCs w:val="22"/>
                <w:lang w:val="sr-Cyrl-CS"/>
              </w:rPr>
              <w:t>10</w:t>
            </w:r>
            <w:r w:rsidRPr="00A7406A">
              <w:rPr>
                <w:sz w:val="22"/>
                <w:szCs w:val="22"/>
              </w:rPr>
              <w:t>3</w:t>
            </w:r>
          </w:p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C61DAF" w:rsidRPr="00A7406A" w:rsidRDefault="00C61DAF" w:rsidP="00C61DAF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900" w:type="dxa"/>
            <w:vAlign w:val="center"/>
          </w:tcPr>
          <w:p w:rsidR="00C61DAF" w:rsidRPr="00A7406A" w:rsidRDefault="00C61DAF" w:rsidP="00C61DAF">
            <w:pPr>
              <w:jc w:val="center"/>
              <w:rPr>
                <w:sz w:val="22"/>
                <w:szCs w:val="22"/>
              </w:rPr>
            </w:pPr>
            <w:r w:rsidRPr="00A7406A">
              <w:rPr>
                <w:sz w:val="22"/>
                <w:szCs w:val="22"/>
              </w:rPr>
              <w:t>+3</w:t>
            </w:r>
          </w:p>
        </w:tc>
        <w:tc>
          <w:tcPr>
            <w:tcW w:w="1047" w:type="dxa"/>
            <w:tcBorders>
              <w:right w:val="triple" w:sz="4" w:space="0" w:color="auto"/>
            </w:tcBorders>
            <w:vAlign w:val="center"/>
          </w:tcPr>
          <w:p w:rsidR="00C61DAF" w:rsidRPr="00A7406A" w:rsidRDefault="00C61DAF" w:rsidP="00C61DAF">
            <w:pPr>
              <w:jc w:val="center"/>
              <w:rPr>
                <w:sz w:val="22"/>
                <w:szCs w:val="22"/>
              </w:rPr>
            </w:pPr>
            <w:r w:rsidRPr="00A7406A">
              <w:rPr>
                <w:sz w:val="22"/>
                <w:szCs w:val="22"/>
              </w:rPr>
              <w:t>+3</w:t>
            </w:r>
          </w:p>
        </w:tc>
      </w:tr>
      <w:tr w:rsidR="00C61DAF" w:rsidRPr="00A7406A" w:rsidTr="00C61DAF">
        <w:trPr>
          <w:jc w:val="center"/>
        </w:trPr>
        <w:tc>
          <w:tcPr>
            <w:tcW w:w="1125" w:type="dxa"/>
            <w:tcBorders>
              <w:left w:val="triple" w:sz="4" w:space="0" w:color="auto"/>
              <w:bottom w:val="single" w:sz="4" w:space="0" w:color="auto"/>
            </w:tcBorders>
            <w:vAlign w:val="center"/>
          </w:tcPr>
          <w:p w:rsidR="00C61DAF" w:rsidRPr="00A7406A" w:rsidRDefault="00C61DAF" w:rsidP="00C61DAF">
            <w:pPr>
              <w:jc w:val="center"/>
              <w:rPr>
                <w:sz w:val="20"/>
                <w:szCs w:val="20"/>
                <w:lang w:val="sr-Cyrl-CS"/>
              </w:rPr>
            </w:pPr>
            <w:r w:rsidRPr="00A7406A">
              <w:rPr>
                <w:sz w:val="20"/>
                <w:szCs w:val="20"/>
                <w:lang w:val="sr-Cyrl-CS"/>
              </w:rPr>
              <w:t>Румунски језик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C61DAF" w:rsidRPr="00A7406A" w:rsidRDefault="00C61DAF" w:rsidP="00C61DAF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C61DAF" w:rsidRPr="00A7406A" w:rsidRDefault="00C61DAF" w:rsidP="00C61DAF">
            <w:pPr>
              <w:jc w:val="center"/>
              <w:rPr>
                <w:sz w:val="22"/>
                <w:szCs w:val="22"/>
                <w:lang w:val="sr-Cyrl-CS"/>
              </w:rPr>
            </w:pPr>
            <w:r w:rsidRPr="00A7406A">
              <w:rPr>
                <w:sz w:val="22"/>
                <w:szCs w:val="22"/>
                <w:lang w:val="sr-Cyrl-CS"/>
              </w:rPr>
              <w:t>49</w:t>
            </w:r>
          </w:p>
        </w:tc>
        <w:tc>
          <w:tcPr>
            <w:tcW w:w="900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C61DAF" w:rsidRPr="00A7406A" w:rsidRDefault="00C61DAF" w:rsidP="00C61DAF">
            <w:pPr>
              <w:jc w:val="center"/>
              <w:rPr>
                <w:sz w:val="22"/>
                <w:szCs w:val="22"/>
                <w:lang w:val="sr-Cyrl-CS"/>
              </w:rPr>
            </w:pPr>
            <w:r w:rsidRPr="00A7406A">
              <w:rPr>
                <w:sz w:val="22"/>
                <w:szCs w:val="22"/>
                <w:lang w:val="sr-Cyrl-CS"/>
              </w:rPr>
              <w:t>49</w:t>
            </w:r>
          </w:p>
        </w:tc>
        <w:tc>
          <w:tcPr>
            <w:tcW w:w="720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C61DAF" w:rsidRPr="00A7406A" w:rsidRDefault="00C61DAF" w:rsidP="00C61DAF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C61DAF" w:rsidRPr="00A7406A" w:rsidRDefault="00C61DAF" w:rsidP="00C61DAF">
            <w:pPr>
              <w:jc w:val="center"/>
              <w:rPr>
                <w:sz w:val="22"/>
                <w:szCs w:val="22"/>
              </w:rPr>
            </w:pPr>
            <w:r w:rsidRPr="00A7406A">
              <w:rPr>
                <w:sz w:val="22"/>
                <w:szCs w:val="22"/>
              </w:rPr>
              <w:t>57</w:t>
            </w:r>
          </w:p>
        </w:tc>
        <w:tc>
          <w:tcPr>
            <w:tcW w:w="900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C61DAF" w:rsidRPr="00A7406A" w:rsidRDefault="00C61DAF" w:rsidP="00C61DAF">
            <w:pPr>
              <w:jc w:val="center"/>
              <w:rPr>
                <w:sz w:val="22"/>
                <w:szCs w:val="22"/>
              </w:rPr>
            </w:pPr>
            <w:r w:rsidRPr="00A7406A">
              <w:rPr>
                <w:sz w:val="22"/>
                <w:szCs w:val="22"/>
              </w:rPr>
              <w:t>57</w:t>
            </w:r>
          </w:p>
        </w:tc>
        <w:tc>
          <w:tcPr>
            <w:tcW w:w="900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C61DAF" w:rsidRPr="00A7406A" w:rsidRDefault="00C61DAF" w:rsidP="00C61DAF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C61DAF" w:rsidRPr="00A7406A" w:rsidRDefault="00C61DAF" w:rsidP="00C61DAF">
            <w:pPr>
              <w:jc w:val="center"/>
              <w:rPr>
                <w:sz w:val="22"/>
                <w:szCs w:val="22"/>
              </w:rPr>
            </w:pPr>
            <w:r w:rsidRPr="00A7406A">
              <w:rPr>
                <w:sz w:val="22"/>
                <w:szCs w:val="22"/>
                <w:lang w:val="sr-Cyrl-CS"/>
              </w:rPr>
              <w:t>+</w:t>
            </w:r>
            <w:r w:rsidRPr="00A7406A">
              <w:rPr>
                <w:sz w:val="22"/>
                <w:szCs w:val="22"/>
              </w:rPr>
              <w:t>8</w:t>
            </w:r>
          </w:p>
        </w:tc>
        <w:tc>
          <w:tcPr>
            <w:tcW w:w="1047" w:type="dxa"/>
            <w:tcBorders>
              <w:bottom w:val="single" w:sz="4" w:space="0" w:color="auto"/>
              <w:right w:val="triple" w:sz="4" w:space="0" w:color="auto"/>
            </w:tcBorders>
            <w:vAlign w:val="center"/>
          </w:tcPr>
          <w:p w:rsidR="00C61DAF" w:rsidRPr="00A7406A" w:rsidRDefault="00C61DAF" w:rsidP="00C61DAF">
            <w:pPr>
              <w:jc w:val="center"/>
              <w:rPr>
                <w:sz w:val="22"/>
                <w:szCs w:val="22"/>
              </w:rPr>
            </w:pPr>
            <w:r w:rsidRPr="00A7406A">
              <w:rPr>
                <w:sz w:val="22"/>
                <w:szCs w:val="22"/>
                <w:lang w:val="sr-Cyrl-CS"/>
              </w:rPr>
              <w:t>+</w:t>
            </w:r>
            <w:r w:rsidRPr="00A7406A">
              <w:rPr>
                <w:sz w:val="22"/>
                <w:szCs w:val="22"/>
              </w:rPr>
              <w:t>8</w:t>
            </w:r>
          </w:p>
        </w:tc>
      </w:tr>
      <w:tr w:rsidR="00C61DAF" w:rsidRPr="00A7406A" w:rsidTr="00C61DAF">
        <w:trPr>
          <w:jc w:val="center"/>
        </w:trPr>
        <w:tc>
          <w:tcPr>
            <w:tcW w:w="1125" w:type="dxa"/>
            <w:tcBorders>
              <w:left w:val="triple" w:sz="4" w:space="0" w:color="auto"/>
              <w:bottom w:val="single" w:sz="4" w:space="0" w:color="auto"/>
            </w:tcBorders>
            <w:vAlign w:val="center"/>
          </w:tcPr>
          <w:p w:rsidR="00C61DAF" w:rsidRPr="00A7406A" w:rsidRDefault="00C61DAF" w:rsidP="00C61DAF">
            <w:pPr>
              <w:jc w:val="center"/>
              <w:rPr>
                <w:sz w:val="20"/>
                <w:szCs w:val="20"/>
                <w:lang w:val="sr-Cyrl-CS"/>
              </w:rPr>
            </w:pPr>
            <w:r w:rsidRPr="00A7406A">
              <w:rPr>
                <w:sz w:val="20"/>
                <w:szCs w:val="20"/>
                <w:lang w:val="sr-Cyrl-CS"/>
              </w:rPr>
              <w:t>Русински језик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C61DAF" w:rsidRPr="00A7406A" w:rsidRDefault="00C61DAF" w:rsidP="00C61DAF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C61DAF" w:rsidRPr="00A7406A" w:rsidRDefault="00C61DAF" w:rsidP="00C61DAF">
            <w:pPr>
              <w:jc w:val="center"/>
              <w:rPr>
                <w:sz w:val="22"/>
                <w:szCs w:val="22"/>
                <w:lang w:val="sr-Cyrl-CS"/>
              </w:rPr>
            </w:pPr>
            <w:r w:rsidRPr="00A7406A">
              <w:rPr>
                <w:sz w:val="22"/>
                <w:szCs w:val="22"/>
                <w:lang w:val="sr-Cyrl-CS"/>
              </w:rPr>
              <w:t>11</w:t>
            </w:r>
          </w:p>
        </w:tc>
        <w:tc>
          <w:tcPr>
            <w:tcW w:w="900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C61DAF" w:rsidRPr="00A7406A" w:rsidRDefault="00C61DAF" w:rsidP="00C61DAF">
            <w:pPr>
              <w:jc w:val="center"/>
              <w:rPr>
                <w:sz w:val="22"/>
                <w:szCs w:val="22"/>
                <w:lang w:val="sr-Cyrl-CS"/>
              </w:rPr>
            </w:pPr>
            <w:r w:rsidRPr="00A7406A">
              <w:rPr>
                <w:sz w:val="22"/>
                <w:szCs w:val="22"/>
                <w:lang w:val="sr-Cyrl-CS"/>
              </w:rPr>
              <w:t>11</w:t>
            </w:r>
          </w:p>
        </w:tc>
        <w:tc>
          <w:tcPr>
            <w:tcW w:w="720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C61DAF" w:rsidRPr="00A7406A" w:rsidRDefault="00C61DAF" w:rsidP="00C61DAF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C61DAF" w:rsidRPr="00A7406A" w:rsidRDefault="00C61DAF" w:rsidP="00C61DAF">
            <w:pPr>
              <w:jc w:val="center"/>
              <w:rPr>
                <w:sz w:val="22"/>
                <w:szCs w:val="22"/>
              </w:rPr>
            </w:pPr>
            <w:r w:rsidRPr="00A7406A">
              <w:rPr>
                <w:sz w:val="22"/>
                <w:szCs w:val="22"/>
                <w:lang w:val="sr-Cyrl-CS"/>
              </w:rPr>
              <w:t>1</w:t>
            </w:r>
            <w:r w:rsidRPr="00A7406A">
              <w:rPr>
                <w:sz w:val="22"/>
                <w:szCs w:val="22"/>
              </w:rPr>
              <w:t>3</w:t>
            </w:r>
          </w:p>
        </w:tc>
        <w:tc>
          <w:tcPr>
            <w:tcW w:w="900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C61DAF" w:rsidRPr="00A7406A" w:rsidRDefault="00C61DAF" w:rsidP="00C61DAF">
            <w:pPr>
              <w:jc w:val="center"/>
              <w:rPr>
                <w:sz w:val="22"/>
                <w:szCs w:val="22"/>
              </w:rPr>
            </w:pPr>
            <w:r w:rsidRPr="00A7406A">
              <w:rPr>
                <w:sz w:val="22"/>
                <w:szCs w:val="22"/>
                <w:lang w:val="sr-Cyrl-CS"/>
              </w:rPr>
              <w:t>1</w:t>
            </w:r>
            <w:r w:rsidRPr="00A7406A">
              <w:rPr>
                <w:sz w:val="22"/>
                <w:szCs w:val="22"/>
              </w:rPr>
              <w:t>3</w:t>
            </w:r>
          </w:p>
        </w:tc>
        <w:tc>
          <w:tcPr>
            <w:tcW w:w="900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C61DAF" w:rsidRPr="00A7406A" w:rsidRDefault="00C61DAF" w:rsidP="00C61DAF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C61DAF" w:rsidRPr="00A7406A" w:rsidRDefault="00C61DAF" w:rsidP="00C61DAF">
            <w:pPr>
              <w:jc w:val="center"/>
              <w:rPr>
                <w:sz w:val="22"/>
                <w:szCs w:val="22"/>
              </w:rPr>
            </w:pPr>
            <w:r w:rsidRPr="00A7406A">
              <w:rPr>
                <w:sz w:val="22"/>
                <w:szCs w:val="22"/>
              </w:rPr>
              <w:t>+2</w:t>
            </w:r>
          </w:p>
        </w:tc>
        <w:tc>
          <w:tcPr>
            <w:tcW w:w="1047" w:type="dxa"/>
            <w:tcBorders>
              <w:bottom w:val="single" w:sz="4" w:space="0" w:color="auto"/>
              <w:right w:val="triple" w:sz="4" w:space="0" w:color="auto"/>
            </w:tcBorders>
            <w:vAlign w:val="center"/>
          </w:tcPr>
          <w:p w:rsidR="00C61DAF" w:rsidRPr="00A7406A" w:rsidRDefault="00C61DAF" w:rsidP="00C61DAF">
            <w:pPr>
              <w:jc w:val="center"/>
              <w:rPr>
                <w:sz w:val="22"/>
                <w:szCs w:val="22"/>
              </w:rPr>
            </w:pPr>
            <w:r w:rsidRPr="00A7406A">
              <w:rPr>
                <w:sz w:val="22"/>
                <w:szCs w:val="22"/>
              </w:rPr>
              <w:t>+2</w:t>
            </w:r>
          </w:p>
        </w:tc>
      </w:tr>
      <w:tr w:rsidR="00C61DAF" w:rsidRPr="00A7406A" w:rsidTr="00C61DAF">
        <w:trPr>
          <w:jc w:val="center"/>
        </w:trPr>
        <w:tc>
          <w:tcPr>
            <w:tcW w:w="1125" w:type="dxa"/>
            <w:tcBorders>
              <w:left w:val="triple" w:sz="4" w:space="0" w:color="auto"/>
              <w:bottom w:val="double" w:sz="4" w:space="0" w:color="auto"/>
            </w:tcBorders>
            <w:vAlign w:val="center"/>
          </w:tcPr>
          <w:p w:rsidR="00C61DAF" w:rsidRPr="00A7406A" w:rsidRDefault="00C61DAF" w:rsidP="00C61DAF">
            <w:pPr>
              <w:jc w:val="center"/>
              <w:rPr>
                <w:sz w:val="20"/>
                <w:szCs w:val="20"/>
                <w:lang w:val="sr-Cyrl-CS"/>
              </w:rPr>
            </w:pPr>
            <w:r w:rsidRPr="00A7406A">
              <w:rPr>
                <w:sz w:val="20"/>
                <w:szCs w:val="20"/>
                <w:lang w:val="sr-Cyrl-CS"/>
              </w:rPr>
              <w:t>Хрватски језик</w:t>
            </w:r>
          </w:p>
        </w:tc>
        <w:tc>
          <w:tcPr>
            <w:tcW w:w="900" w:type="dxa"/>
            <w:tcBorders>
              <w:bottom w:val="double" w:sz="4" w:space="0" w:color="auto"/>
            </w:tcBorders>
            <w:vAlign w:val="center"/>
          </w:tcPr>
          <w:p w:rsidR="00C61DAF" w:rsidRPr="00A7406A" w:rsidRDefault="00C61DAF" w:rsidP="00C61DAF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900" w:type="dxa"/>
            <w:tcBorders>
              <w:bottom w:val="double" w:sz="4" w:space="0" w:color="auto"/>
            </w:tcBorders>
            <w:vAlign w:val="center"/>
          </w:tcPr>
          <w:p w:rsidR="00C61DAF" w:rsidRPr="00A7406A" w:rsidRDefault="00C61DAF" w:rsidP="00C61DAF">
            <w:pPr>
              <w:jc w:val="center"/>
              <w:rPr>
                <w:sz w:val="22"/>
                <w:szCs w:val="22"/>
                <w:lang w:val="sr-Cyrl-CS"/>
              </w:rPr>
            </w:pPr>
            <w:r w:rsidRPr="00A7406A">
              <w:rPr>
                <w:sz w:val="22"/>
                <w:szCs w:val="22"/>
                <w:lang w:val="sr-Cyrl-CS"/>
              </w:rPr>
              <w:t>40</w:t>
            </w:r>
          </w:p>
        </w:tc>
        <w:tc>
          <w:tcPr>
            <w:tcW w:w="900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C61DAF" w:rsidRPr="00A7406A" w:rsidRDefault="00C61DAF" w:rsidP="00C61DAF">
            <w:pPr>
              <w:jc w:val="center"/>
              <w:rPr>
                <w:sz w:val="22"/>
                <w:szCs w:val="22"/>
                <w:lang w:val="sr-Cyrl-CS"/>
              </w:rPr>
            </w:pPr>
            <w:r w:rsidRPr="00A7406A">
              <w:rPr>
                <w:sz w:val="22"/>
                <w:szCs w:val="22"/>
                <w:lang w:val="sr-Cyrl-CS"/>
              </w:rPr>
              <w:t>40</w:t>
            </w:r>
          </w:p>
        </w:tc>
        <w:tc>
          <w:tcPr>
            <w:tcW w:w="720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C61DAF" w:rsidRPr="00A7406A" w:rsidRDefault="00C61DAF" w:rsidP="00C61DAF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900" w:type="dxa"/>
            <w:tcBorders>
              <w:bottom w:val="double" w:sz="4" w:space="0" w:color="auto"/>
            </w:tcBorders>
            <w:vAlign w:val="center"/>
          </w:tcPr>
          <w:p w:rsidR="00C61DAF" w:rsidRPr="00A7406A" w:rsidRDefault="00C61DAF" w:rsidP="00C61DAF">
            <w:pPr>
              <w:jc w:val="center"/>
              <w:rPr>
                <w:sz w:val="22"/>
                <w:szCs w:val="22"/>
              </w:rPr>
            </w:pPr>
            <w:r w:rsidRPr="00A7406A">
              <w:rPr>
                <w:sz w:val="22"/>
                <w:szCs w:val="22"/>
              </w:rPr>
              <w:t>34</w:t>
            </w:r>
          </w:p>
        </w:tc>
        <w:tc>
          <w:tcPr>
            <w:tcW w:w="900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C61DAF" w:rsidRPr="00A7406A" w:rsidRDefault="00C61DAF" w:rsidP="00C61DAF">
            <w:pPr>
              <w:jc w:val="center"/>
              <w:rPr>
                <w:sz w:val="22"/>
                <w:szCs w:val="22"/>
              </w:rPr>
            </w:pPr>
            <w:r w:rsidRPr="00A7406A">
              <w:rPr>
                <w:sz w:val="22"/>
                <w:szCs w:val="22"/>
              </w:rPr>
              <w:t>34</w:t>
            </w:r>
          </w:p>
        </w:tc>
        <w:tc>
          <w:tcPr>
            <w:tcW w:w="900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C61DAF" w:rsidRPr="00A7406A" w:rsidRDefault="00C61DAF" w:rsidP="00C61DAF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900" w:type="dxa"/>
            <w:tcBorders>
              <w:bottom w:val="double" w:sz="4" w:space="0" w:color="auto"/>
            </w:tcBorders>
            <w:vAlign w:val="center"/>
          </w:tcPr>
          <w:p w:rsidR="00C61DAF" w:rsidRPr="00A7406A" w:rsidRDefault="00C61DAF" w:rsidP="00C61DAF">
            <w:pPr>
              <w:jc w:val="center"/>
              <w:rPr>
                <w:sz w:val="22"/>
                <w:szCs w:val="22"/>
              </w:rPr>
            </w:pPr>
            <w:r w:rsidRPr="00A7406A">
              <w:rPr>
                <w:sz w:val="22"/>
                <w:szCs w:val="22"/>
              </w:rPr>
              <w:t>-6</w:t>
            </w:r>
          </w:p>
        </w:tc>
        <w:tc>
          <w:tcPr>
            <w:tcW w:w="1047" w:type="dxa"/>
            <w:tcBorders>
              <w:bottom w:val="double" w:sz="4" w:space="0" w:color="auto"/>
              <w:right w:val="triple" w:sz="4" w:space="0" w:color="auto"/>
            </w:tcBorders>
            <w:vAlign w:val="center"/>
          </w:tcPr>
          <w:p w:rsidR="00C61DAF" w:rsidRPr="00A7406A" w:rsidRDefault="00C61DAF" w:rsidP="00C61DAF">
            <w:pPr>
              <w:jc w:val="center"/>
              <w:rPr>
                <w:sz w:val="22"/>
                <w:szCs w:val="22"/>
                <w:lang w:val="sr-Cyrl-CS"/>
              </w:rPr>
            </w:pPr>
            <w:r w:rsidRPr="00A7406A">
              <w:rPr>
                <w:sz w:val="22"/>
                <w:szCs w:val="22"/>
              </w:rPr>
              <w:t>-</w:t>
            </w:r>
            <w:r w:rsidRPr="00A7406A">
              <w:rPr>
                <w:sz w:val="22"/>
                <w:szCs w:val="22"/>
                <w:lang w:val="sr-Cyrl-CS"/>
              </w:rPr>
              <w:t>6</w:t>
            </w:r>
          </w:p>
        </w:tc>
      </w:tr>
      <w:tr w:rsidR="008F004E" w:rsidRPr="00A7406A" w:rsidTr="00C61DAF">
        <w:trPr>
          <w:jc w:val="center"/>
        </w:trPr>
        <w:tc>
          <w:tcPr>
            <w:tcW w:w="1125" w:type="dxa"/>
            <w:tcBorders>
              <w:top w:val="double" w:sz="4" w:space="0" w:color="auto"/>
              <w:left w:val="triple" w:sz="4" w:space="0" w:color="auto"/>
              <w:bottom w:val="triple" w:sz="4" w:space="0" w:color="auto"/>
            </w:tcBorders>
            <w:vAlign w:val="center"/>
          </w:tcPr>
          <w:p w:rsidR="00C61DAF" w:rsidRPr="00A7406A" w:rsidRDefault="00C61DAF" w:rsidP="00C61DAF">
            <w:pPr>
              <w:jc w:val="center"/>
              <w:rPr>
                <w:sz w:val="20"/>
                <w:szCs w:val="20"/>
                <w:lang w:val="sr-Cyrl-CS"/>
              </w:rPr>
            </w:pPr>
            <w:r w:rsidRPr="00A7406A">
              <w:rPr>
                <w:sz w:val="20"/>
                <w:szCs w:val="20"/>
                <w:lang w:val="sr-Cyrl-CS"/>
              </w:rPr>
              <w:t>Укупно:</w:t>
            </w:r>
          </w:p>
        </w:tc>
        <w:tc>
          <w:tcPr>
            <w:tcW w:w="900" w:type="dxa"/>
            <w:tcBorders>
              <w:top w:val="double" w:sz="4" w:space="0" w:color="auto"/>
              <w:bottom w:val="triple" w:sz="4" w:space="0" w:color="auto"/>
            </w:tcBorders>
            <w:vAlign w:val="center"/>
          </w:tcPr>
          <w:p w:rsidR="00C61DAF" w:rsidRPr="00A7406A" w:rsidRDefault="00C61DAF" w:rsidP="00C61DAF">
            <w:pPr>
              <w:jc w:val="center"/>
              <w:rPr>
                <w:sz w:val="22"/>
                <w:szCs w:val="22"/>
                <w:lang w:val="sr-Cyrl-CS"/>
              </w:rPr>
            </w:pPr>
            <w:r w:rsidRPr="00A7406A">
              <w:rPr>
                <w:sz w:val="22"/>
                <w:szCs w:val="22"/>
                <w:lang w:val="sr-Cyrl-CS"/>
              </w:rPr>
              <w:t>2.679</w:t>
            </w:r>
          </w:p>
        </w:tc>
        <w:tc>
          <w:tcPr>
            <w:tcW w:w="900" w:type="dxa"/>
            <w:tcBorders>
              <w:top w:val="double" w:sz="4" w:space="0" w:color="auto"/>
              <w:bottom w:val="triple" w:sz="4" w:space="0" w:color="auto"/>
            </w:tcBorders>
            <w:vAlign w:val="center"/>
          </w:tcPr>
          <w:p w:rsidR="00C61DAF" w:rsidRPr="00A7406A" w:rsidRDefault="00C61DAF" w:rsidP="00C61DAF">
            <w:pPr>
              <w:jc w:val="center"/>
              <w:rPr>
                <w:sz w:val="22"/>
                <w:szCs w:val="22"/>
                <w:lang w:val="sr-Cyrl-CS"/>
              </w:rPr>
            </w:pPr>
            <w:r w:rsidRPr="00A7406A">
              <w:rPr>
                <w:sz w:val="22"/>
                <w:szCs w:val="22"/>
                <w:lang w:val="sr-Cyrl-CS"/>
              </w:rPr>
              <w:t>14.926</w:t>
            </w:r>
          </w:p>
        </w:tc>
        <w:tc>
          <w:tcPr>
            <w:tcW w:w="900" w:type="dxa"/>
            <w:tcBorders>
              <w:top w:val="double" w:sz="4" w:space="0" w:color="auto"/>
              <w:bottom w:val="triple" w:sz="4" w:space="0" w:color="auto"/>
              <w:right w:val="double" w:sz="4" w:space="0" w:color="auto"/>
            </w:tcBorders>
            <w:vAlign w:val="center"/>
          </w:tcPr>
          <w:p w:rsidR="00C61DAF" w:rsidRPr="00A7406A" w:rsidRDefault="00C61DAF" w:rsidP="00C61DAF">
            <w:pPr>
              <w:jc w:val="center"/>
              <w:rPr>
                <w:sz w:val="22"/>
                <w:szCs w:val="22"/>
                <w:lang w:val="sr-Cyrl-CS"/>
              </w:rPr>
            </w:pPr>
            <w:r w:rsidRPr="00A7406A">
              <w:rPr>
                <w:sz w:val="22"/>
                <w:szCs w:val="22"/>
                <w:lang w:val="sr-Cyrl-CS"/>
              </w:rPr>
              <w:t>17.605</w:t>
            </w:r>
          </w:p>
        </w:tc>
        <w:tc>
          <w:tcPr>
            <w:tcW w:w="720" w:type="dxa"/>
            <w:tcBorders>
              <w:top w:val="double" w:sz="4" w:space="0" w:color="auto"/>
              <w:left w:val="double" w:sz="4" w:space="0" w:color="auto"/>
              <w:bottom w:val="triple" w:sz="4" w:space="0" w:color="auto"/>
            </w:tcBorders>
            <w:vAlign w:val="center"/>
          </w:tcPr>
          <w:p w:rsidR="00C61DAF" w:rsidRPr="00A7406A" w:rsidRDefault="00C61DAF" w:rsidP="00C61DAF">
            <w:pPr>
              <w:jc w:val="center"/>
              <w:rPr>
                <w:sz w:val="22"/>
                <w:szCs w:val="22"/>
              </w:rPr>
            </w:pPr>
            <w:r w:rsidRPr="00A7406A">
              <w:rPr>
                <w:sz w:val="22"/>
                <w:szCs w:val="22"/>
                <w:lang w:val="sr-Cyrl-CS"/>
              </w:rPr>
              <w:t>2.6</w:t>
            </w:r>
            <w:r w:rsidRPr="00A7406A">
              <w:rPr>
                <w:sz w:val="22"/>
                <w:szCs w:val="22"/>
              </w:rPr>
              <w:t>06</w:t>
            </w:r>
          </w:p>
        </w:tc>
        <w:tc>
          <w:tcPr>
            <w:tcW w:w="900" w:type="dxa"/>
            <w:tcBorders>
              <w:top w:val="double" w:sz="4" w:space="0" w:color="auto"/>
              <w:bottom w:val="triple" w:sz="4" w:space="0" w:color="auto"/>
            </w:tcBorders>
            <w:vAlign w:val="center"/>
          </w:tcPr>
          <w:p w:rsidR="00C61DAF" w:rsidRPr="00A7406A" w:rsidRDefault="00C61DAF" w:rsidP="00C61DAF">
            <w:pPr>
              <w:jc w:val="center"/>
              <w:rPr>
                <w:sz w:val="22"/>
                <w:szCs w:val="22"/>
              </w:rPr>
            </w:pPr>
            <w:r w:rsidRPr="00A7406A">
              <w:rPr>
                <w:sz w:val="22"/>
                <w:szCs w:val="22"/>
                <w:lang w:val="sr-Cyrl-CS"/>
              </w:rPr>
              <w:t>14.</w:t>
            </w:r>
            <w:r w:rsidRPr="00A7406A">
              <w:rPr>
                <w:sz w:val="22"/>
                <w:szCs w:val="22"/>
              </w:rPr>
              <w:t>127</w:t>
            </w:r>
          </w:p>
        </w:tc>
        <w:tc>
          <w:tcPr>
            <w:tcW w:w="900" w:type="dxa"/>
            <w:tcBorders>
              <w:top w:val="double" w:sz="4" w:space="0" w:color="auto"/>
              <w:bottom w:val="triple" w:sz="4" w:space="0" w:color="auto"/>
              <w:right w:val="double" w:sz="4" w:space="0" w:color="auto"/>
            </w:tcBorders>
            <w:vAlign w:val="center"/>
          </w:tcPr>
          <w:p w:rsidR="00C61DAF" w:rsidRPr="00A7406A" w:rsidRDefault="00C61DAF" w:rsidP="00C61DAF">
            <w:pPr>
              <w:jc w:val="center"/>
              <w:rPr>
                <w:sz w:val="22"/>
                <w:szCs w:val="22"/>
              </w:rPr>
            </w:pPr>
            <w:r w:rsidRPr="00A7406A">
              <w:rPr>
                <w:sz w:val="22"/>
                <w:szCs w:val="22"/>
                <w:lang w:val="sr-Cyrl-CS"/>
              </w:rPr>
              <w:t>1</w:t>
            </w:r>
            <w:r w:rsidRPr="00A7406A">
              <w:rPr>
                <w:sz w:val="22"/>
                <w:szCs w:val="22"/>
              </w:rPr>
              <w:t>6</w:t>
            </w:r>
            <w:r w:rsidRPr="00A7406A">
              <w:rPr>
                <w:sz w:val="22"/>
                <w:szCs w:val="22"/>
                <w:lang w:val="sr-Cyrl-CS"/>
              </w:rPr>
              <w:t>.</w:t>
            </w:r>
            <w:r w:rsidRPr="00A7406A">
              <w:rPr>
                <w:sz w:val="22"/>
                <w:szCs w:val="22"/>
              </w:rPr>
              <w:t>733</w:t>
            </w:r>
          </w:p>
        </w:tc>
        <w:tc>
          <w:tcPr>
            <w:tcW w:w="900" w:type="dxa"/>
            <w:tcBorders>
              <w:top w:val="double" w:sz="4" w:space="0" w:color="auto"/>
              <w:left w:val="double" w:sz="4" w:space="0" w:color="auto"/>
              <w:bottom w:val="triple" w:sz="4" w:space="0" w:color="auto"/>
            </w:tcBorders>
            <w:vAlign w:val="center"/>
          </w:tcPr>
          <w:p w:rsidR="00C61DAF" w:rsidRPr="00A7406A" w:rsidRDefault="00C61DAF" w:rsidP="00C61DAF">
            <w:pPr>
              <w:jc w:val="center"/>
              <w:rPr>
                <w:sz w:val="22"/>
                <w:szCs w:val="22"/>
              </w:rPr>
            </w:pPr>
            <w:r w:rsidRPr="00A7406A">
              <w:rPr>
                <w:sz w:val="22"/>
                <w:szCs w:val="22"/>
                <w:lang w:val="sr-Cyrl-CS"/>
              </w:rPr>
              <w:t>-</w:t>
            </w:r>
            <w:r w:rsidRPr="00A7406A">
              <w:rPr>
                <w:sz w:val="22"/>
                <w:szCs w:val="22"/>
              </w:rPr>
              <w:t>73</w:t>
            </w:r>
          </w:p>
        </w:tc>
        <w:tc>
          <w:tcPr>
            <w:tcW w:w="900" w:type="dxa"/>
            <w:tcBorders>
              <w:top w:val="double" w:sz="4" w:space="0" w:color="auto"/>
              <w:bottom w:val="triple" w:sz="4" w:space="0" w:color="auto"/>
            </w:tcBorders>
            <w:vAlign w:val="center"/>
          </w:tcPr>
          <w:p w:rsidR="00C61DAF" w:rsidRPr="00A7406A" w:rsidRDefault="00C61DAF" w:rsidP="008F004E">
            <w:pPr>
              <w:jc w:val="center"/>
              <w:rPr>
                <w:sz w:val="22"/>
                <w:szCs w:val="22"/>
              </w:rPr>
            </w:pPr>
            <w:r w:rsidRPr="00A7406A">
              <w:rPr>
                <w:sz w:val="22"/>
                <w:szCs w:val="22"/>
                <w:lang w:val="sr-Cyrl-CS"/>
              </w:rPr>
              <w:t>-7</w:t>
            </w:r>
            <w:r w:rsidR="008F004E" w:rsidRPr="00A7406A">
              <w:rPr>
                <w:sz w:val="22"/>
                <w:szCs w:val="22"/>
              </w:rPr>
              <w:t>99</w:t>
            </w:r>
          </w:p>
        </w:tc>
        <w:tc>
          <w:tcPr>
            <w:tcW w:w="1047" w:type="dxa"/>
            <w:tcBorders>
              <w:top w:val="double" w:sz="4" w:space="0" w:color="auto"/>
              <w:bottom w:val="triple" w:sz="4" w:space="0" w:color="auto"/>
              <w:right w:val="triple" w:sz="4" w:space="0" w:color="auto"/>
            </w:tcBorders>
            <w:shd w:val="clear" w:color="auto" w:fill="C0C0C0"/>
            <w:vAlign w:val="center"/>
          </w:tcPr>
          <w:p w:rsidR="00C61DAF" w:rsidRPr="00A7406A" w:rsidRDefault="00C61DAF" w:rsidP="008F004E">
            <w:pPr>
              <w:jc w:val="center"/>
              <w:rPr>
                <w:sz w:val="22"/>
                <w:szCs w:val="22"/>
              </w:rPr>
            </w:pPr>
            <w:r w:rsidRPr="00A7406A">
              <w:rPr>
                <w:sz w:val="22"/>
                <w:szCs w:val="22"/>
                <w:lang w:val="sr-Cyrl-CS"/>
              </w:rPr>
              <w:t>-</w:t>
            </w:r>
            <w:r w:rsidR="008F004E" w:rsidRPr="00A7406A">
              <w:rPr>
                <w:sz w:val="22"/>
                <w:szCs w:val="22"/>
              </w:rPr>
              <w:t>872</w:t>
            </w:r>
          </w:p>
        </w:tc>
      </w:tr>
    </w:tbl>
    <w:p w:rsidR="00A968D5" w:rsidRPr="00A7406A" w:rsidRDefault="00A968D5" w:rsidP="00A968D5">
      <w:pPr>
        <w:jc w:val="center"/>
        <w:rPr>
          <w:b/>
          <w:bCs/>
          <w:lang w:val="sr-Cyrl-CS"/>
        </w:rPr>
      </w:pPr>
    </w:p>
    <w:p w:rsidR="00A968D5" w:rsidRPr="00A7406A" w:rsidRDefault="00A968D5" w:rsidP="00A968D5">
      <w:pPr>
        <w:jc w:val="center"/>
        <w:rPr>
          <w:b/>
          <w:bCs/>
          <w:lang w:val="sr-Cyrl-CS"/>
        </w:rPr>
      </w:pPr>
    </w:p>
    <w:p w:rsidR="00A968D5" w:rsidRPr="00A7406A" w:rsidRDefault="00A968D5" w:rsidP="00A968D5">
      <w:pPr>
        <w:jc w:val="center"/>
        <w:rPr>
          <w:b/>
          <w:bCs/>
          <w:lang w:val="sr-Cyrl-CS"/>
        </w:rPr>
      </w:pPr>
    </w:p>
    <w:p w:rsidR="00A968D5" w:rsidRPr="00A7406A" w:rsidRDefault="00A968D5" w:rsidP="00A968D5">
      <w:pPr>
        <w:jc w:val="center"/>
        <w:rPr>
          <w:b/>
          <w:bCs/>
          <w:lang w:val="sr-Cyrl-CS"/>
        </w:rPr>
      </w:pPr>
      <w:r w:rsidRPr="00A7406A">
        <w:rPr>
          <w:b/>
          <w:bCs/>
          <w:lang w:val="sr-Cyrl-CS"/>
        </w:rPr>
        <w:t>* * *</w:t>
      </w:r>
    </w:p>
    <w:p w:rsidR="00A968D5" w:rsidRPr="00A7406A" w:rsidRDefault="00A968D5" w:rsidP="00A968D5">
      <w:pPr>
        <w:ind w:right="-180"/>
        <w:jc w:val="both"/>
        <w:rPr>
          <w:bCs/>
          <w:lang w:val="sr-Cyrl-CS"/>
        </w:rPr>
      </w:pPr>
    </w:p>
    <w:p w:rsidR="00A968D5" w:rsidRPr="00A7406A" w:rsidRDefault="00A968D5" w:rsidP="00A968D5">
      <w:pPr>
        <w:ind w:right="-180"/>
        <w:jc w:val="both"/>
        <w:rPr>
          <w:bCs/>
          <w:lang w:val="sr-Cyrl-CS"/>
        </w:rPr>
      </w:pPr>
    </w:p>
    <w:p w:rsidR="00A968D5" w:rsidRPr="00A7406A" w:rsidRDefault="00A968D5" w:rsidP="00A968D5">
      <w:pPr>
        <w:ind w:right="-180"/>
        <w:jc w:val="both"/>
        <w:rPr>
          <w:bCs/>
          <w:lang w:val="sr-Cyrl-CS"/>
        </w:rPr>
      </w:pPr>
    </w:p>
    <w:p w:rsidR="00A968D5" w:rsidRPr="00A7406A" w:rsidRDefault="00A968D5" w:rsidP="00A968D5">
      <w:pPr>
        <w:ind w:right="-180"/>
        <w:jc w:val="both"/>
        <w:rPr>
          <w:bCs/>
          <w:lang w:val="sr-Cyrl-CS"/>
        </w:rPr>
      </w:pPr>
      <w:r w:rsidRPr="00A7406A">
        <w:rPr>
          <w:bCs/>
          <w:lang w:val="sr-Cyrl-CS"/>
        </w:rPr>
        <w:t xml:space="preserve">      На основу прегледа броја ученика уписаних у први разред средње школе у протеклих </w:t>
      </w:r>
      <w:r w:rsidRPr="00A7406A">
        <w:rPr>
          <w:b/>
          <w:bCs/>
          <w:lang w:val="sr-Cyrl-CS"/>
        </w:rPr>
        <w:t>пет година</w:t>
      </w:r>
      <w:r w:rsidRPr="00A7406A">
        <w:rPr>
          <w:bCs/>
          <w:lang w:val="sr-Cyrl-CS"/>
        </w:rPr>
        <w:t>, по наставним језицима и школским годинама, стање је следеће:</w:t>
      </w:r>
    </w:p>
    <w:p w:rsidR="00A968D5" w:rsidRPr="00A7406A" w:rsidRDefault="00A968D5" w:rsidP="00A968D5">
      <w:pPr>
        <w:jc w:val="both"/>
        <w:rPr>
          <w:bCs/>
          <w:lang w:val="sr-Cyrl-CS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1578"/>
        <w:gridCol w:w="1578"/>
        <w:gridCol w:w="1578"/>
        <w:gridCol w:w="1578"/>
        <w:gridCol w:w="1578"/>
      </w:tblGrid>
      <w:tr w:rsidR="00FA08FA" w:rsidRPr="00A7406A" w:rsidTr="00C61DAF">
        <w:trPr>
          <w:trHeight w:val="390"/>
        </w:trPr>
        <w:tc>
          <w:tcPr>
            <w:tcW w:w="1578" w:type="dxa"/>
            <w:vMerge w:val="restart"/>
            <w:shd w:val="clear" w:color="auto" w:fill="auto"/>
            <w:vAlign w:val="center"/>
          </w:tcPr>
          <w:p w:rsidR="00FA08FA" w:rsidRPr="00A7406A" w:rsidRDefault="00FA08FA" w:rsidP="00C61DAF">
            <w:pPr>
              <w:jc w:val="center"/>
              <w:rPr>
                <w:sz w:val="20"/>
                <w:szCs w:val="20"/>
                <w:lang w:val="sr-Cyrl-CS"/>
              </w:rPr>
            </w:pPr>
            <w:r w:rsidRPr="00A7406A">
              <w:rPr>
                <w:sz w:val="20"/>
                <w:szCs w:val="20"/>
                <w:lang w:val="sr-Cyrl-CS"/>
              </w:rPr>
              <w:t>Наставни језик</w:t>
            </w:r>
          </w:p>
        </w:tc>
        <w:tc>
          <w:tcPr>
            <w:tcW w:w="1578" w:type="dxa"/>
            <w:shd w:val="clear" w:color="auto" w:fill="auto"/>
          </w:tcPr>
          <w:p w:rsidR="00FA08FA" w:rsidRPr="00A7406A" w:rsidRDefault="00FA08FA" w:rsidP="00FA64EA">
            <w:pPr>
              <w:jc w:val="center"/>
              <w:rPr>
                <w:b/>
                <w:bCs/>
                <w:lang w:val="sr-Cyrl-CS"/>
              </w:rPr>
            </w:pPr>
            <w:r w:rsidRPr="00A7406A">
              <w:rPr>
                <w:b/>
                <w:bCs/>
                <w:sz w:val="20"/>
                <w:szCs w:val="20"/>
                <w:lang w:val="sr-Cyrl-CS"/>
              </w:rPr>
              <w:t>Шк. 2010/2011. год.</w:t>
            </w:r>
          </w:p>
        </w:tc>
        <w:tc>
          <w:tcPr>
            <w:tcW w:w="1578" w:type="dxa"/>
            <w:shd w:val="clear" w:color="auto" w:fill="auto"/>
          </w:tcPr>
          <w:p w:rsidR="00FA08FA" w:rsidRPr="00A7406A" w:rsidRDefault="00FA08FA" w:rsidP="00FA64EA">
            <w:pPr>
              <w:jc w:val="center"/>
              <w:rPr>
                <w:b/>
                <w:bCs/>
                <w:lang w:val="sr-Cyrl-CS"/>
              </w:rPr>
            </w:pPr>
            <w:r w:rsidRPr="00A7406A">
              <w:rPr>
                <w:b/>
                <w:bCs/>
                <w:sz w:val="20"/>
                <w:szCs w:val="20"/>
                <w:lang w:val="sr-Cyrl-CS"/>
              </w:rPr>
              <w:t>Шк. 2011/2012. год.</w:t>
            </w:r>
          </w:p>
        </w:tc>
        <w:tc>
          <w:tcPr>
            <w:tcW w:w="1578" w:type="dxa"/>
            <w:shd w:val="clear" w:color="auto" w:fill="auto"/>
          </w:tcPr>
          <w:p w:rsidR="00FA08FA" w:rsidRPr="00A7406A" w:rsidRDefault="00FA08FA" w:rsidP="00FA64EA">
            <w:pPr>
              <w:jc w:val="center"/>
              <w:rPr>
                <w:b/>
                <w:bCs/>
                <w:lang w:val="sr-Cyrl-CS"/>
              </w:rPr>
            </w:pPr>
            <w:r w:rsidRPr="00A7406A">
              <w:rPr>
                <w:b/>
                <w:bCs/>
                <w:sz w:val="20"/>
                <w:szCs w:val="20"/>
                <w:lang w:val="sr-Cyrl-CS"/>
              </w:rPr>
              <w:t>Шк. 2012/2013. год.</w:t>
            </w:r>
          </w:p>
        </w:tc>
        <w:tc>
          <w:tcPr>
            <w:tcW w:w="1578" w:type="dxa"/>
            <w:shd w:val="clear" w:color="auto" w:fill="auto"/>
          </w:tcPr>
          <w:p w:rsidR="00FA08FA" w:rsidRPr="00A7406A" w:rsidRDefault="00FA08FA" w:rsidP="00FA64EA">
            <w:pPr>
              <w:jc w:val="center"/>
              <w:rPr>
                <w:b/>
                <w:bCs/>
                <w:lang w:val="sr-Cyrl-CS"/>
              </w:rPr>
            </w:pPr>
            <w:r w:rsidRPr="00A7406A">
              <w:rPr>
                <w:b/>
                <w:bCs/>
                <w:sz w:val="20"/>
                <w:szCs w:val="20"/>
                <w:lang w:val="sr-Cyrl-CS"/>
              </w:rPr>
              <w:t>Шк. 201</w:t>
            </w:r>
            <w:r w:rsidRPr="00A7406A">
              <w:rPr>
                <w:b/>
                <w:bCs/>
                <w:sz w:val="20"/>
                <w:szCs w:val="20"/>
              </w:rPr>
              <w:t>3</w:t>
            </w:r>
            <w:r w:rsidRPr="00A7406A">
              <w:rPr>
                <w:b/>
                <w:bCs/>
                <w:sz w:val="20"/>
                <w:szCs w:val="20"/>
                <w:lang w:val="sr-Cyrl-CS"/>
              </w:rPr>
              <w:t>/201</w:t>
            </w:r>
            <w:r w:rsidRPr="00A7406A">
              <w:rPr>
                <w:b/>
                <w:bCs/>
                <w:sz w:val="20"/>
                <w:szCs w:val="20"/>
              </w:rPr>
              <w:t>4</w:t>
            </w:r>
            <w:r w:rsidRPr="00A7406A">
              <w:rPr>
                <w:b/>
                <w:bCs/>
                <w:sz w:val="20"/>
                <w:szCs w:val="20"/>
                <w:lang w:val="sr-Cyrl-CS"/>
              </w:rPr>
              <w:t>. год.</w:t>
            </w:r>
          </w:p>
        </w:tc>
        <w:tc>
          <w:tcPr>
            <w:tcW w:w="1578" w:type="dxa"/>
            <w:shd w:val="clear" w:color="auto" w:fill="auto"/>
          </w:tcPr>
          <w:p w:rsidR="00FA08FA" w:rsidRPr="00A7406A" w:rsidRDefault="00FA08FA" w:rsidP="00FA08FA">
            <w:pPr>
              <w:jc w:val="center"/>
              <w:rPr>
                <w:b/>
                <w:bCs/>
                <w:lang w:val="sr-Cyrl-CS"/>
              </w:rPr>
            </w:pPr>
            <w:r w:rsidRPr="00A7406A">
              <w:rPr>
                <w:b/>
                <w:bCs/>
                <w:sz w:val="20"/>
                <w:szCs w:val="20"/>
                <w:lang w:val="sr-Cyrl-CS"/>
              </w:rPr>
              <w:t>Шк. 201</w:t>
            </w:r>
            <w:r w:rsidRPr="00A7406A">
              <w:rPr>
                <w:b/>
                <w:bCs/>
                <w:sz w:val="20"/>
                <w:szCs w:val="20"/>
              </w:rPr>
              <w:t>4</w:t>
            </w:r>
            <w:r w:rsidRPr="00A7406A">
              <w:rPr>
                <w:b/>
                <w:bCs/>
                <w:sz w:val="20"/>
                <w:szCs w:val="20"/>
                <w:lang w:val="sr-Cyrl-CS"/>
              </w:rPr>
              <w:t>/201</w:t>
            </w:r>
            <w:r w:rsidRPr="00A7406A">
              <w:rPr>
                <w:b/>
                <w:bCs/>
                <w:sz w:val="20"/>
                <w:szCs w:val="20"/>
              </w:rPr>
              <w:t>5</w:t>
            </w:r>
            <w:r w:rsidRPr="00A7406A">
              <w:rPr>
                <w:b/>
                <w:bCs/>
                <w:sz w:val="20"/>
                <w:szCs w:val="20"/>
                <w:lang w:val="sr-Cyrl-CS"/>
              </w:rPr>
              <w:t>. год.</w:t>
            </w:r>
          </w:p>
        </w:tc>
      </w:tr>
      <w:tr w:rsidR="00FA08FA" w:rsidRPr="00A7406A" w:rsidTr="00C61DAF">
        <w:trPr>
          <w:trHeight w:val="390"/>
        </w:trPr>
        <w:tc>
          <w:tcPr>
            <w:tcW w:w="1578" w:type="dxa"/>
            <w:vMerge/>
            <w:shd w:val="clear" w:color="auto" w:fill="auto"/>
            <w:vAlign w:val="center"/>
          </w:tcPr>
          <w:p w:rsidR="00FA08FA" w:rsidRPr="00A7406A" w:rsidRDefault="00FA08FA" w:rsidP="00C61DAF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578" w:type="dxa"/>
            <w:shd w:val="clear" w:color="auto" w:fill="auto"/>
            <w:vAlign w:val="center"/>
          </w:tcPr>
          <w:p w:rsidR="00FA08FA" w:rsidRPr="00A7406A" w:rsidRDefault="00FA08FA" w:rsidP="00FA64EA">
            <w:pPr>
              <w:jc w:val="center"/>
              <w:rPr>
                <w:sz w:val="20"/>
                <w:szCs w:val="20"/>
                <w:lang w:val="sr-Cyrl-CS"/>
              </w:rPr>
            </w:pPr>
            <w:r w:rsidRPr="00A7406A">
              <w:rPr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FA08FA" w:rsidRPr="00A7406A" w:rsidRDefault="00FA08FA" w:rsidP="00FA64EA">
            <w:pPr>
              <w:jc w:val="center"/>
              <w:rPr>
                <w:sz w:val="20"/>
                <w:szCs w:val="20"/>
                <w:lang w:val="sr-Cyrl-CS"/>
              </w:rPr>
            </w:pPr>
            <w:r w:rsidRPr="00A7406A">
              <w:rPr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FA08FA" w:rsidRPr="00A7406A" w:rsidRDefault="00FA08FA" w:rsidP="00FA64EA">
            <w:pPr>
              <w:jc w:val="center"/>
              <w:rPr>
                <w:sz w:val="20"/>
                <w:szCs w:val="20"/>
                <w:lang w:val="sr-Cyrl-CS"/>
              </w:rPr>
            </w:pPr>
            <w:r w:rsidRPr="00A7406A">
              <w:rPr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FA08FA" w:rsidRPr="00A7406A" w:rsidRDefault="00FA08FA" w:rsidP="00FA64EA">
            <w:pPr>
              <w:jc w:val="center"/>
              <w:rPr>
                <w:sz w:val="20"/>
                <w:szCs w:val="20"/>
                <w:lang w:val="sr-Cyrl-CS"/>
              </w:rPr>
            </w:pPr>
            <w:r w:rsidRPr="00A7406A">
              <w:rPr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FA08FA" w:rsidRPr="00A7406A" w:rsidRDefault="00FA08FA" w:rsidP="00C61DAF">
            <w:pPr>
              <w:jc w:val="center"/>
              <w:rPr>
                <w:sz w:val="20"/>
                <w:szCs w:val="20"/>
                <w:lang w:val="sr-Cyrl-CS"/>
              </w:rPr>
            </w:pPr>
            <w:r w:rsidRPr="00A7406A">
              <w:rPr>
                <w:sz w:val="20"/>
                <w:szCs w:val="20"/>
                <w:lang w:val="sr-Cyrl-CS"/>
              </w:rPr>
              <w:t>укупно</w:t>
            </w:r>
          </w:p>
        </w:tc>
      </w:tr>
      <w:tr w:rsidR="00FA08FA" w:rsidRPr="00A7406A" w:rsidTr="00C61DAF">
        <w:trPr>
          <w:trHeight w:val="390"/>
        </w:trPr>
        <w:tc>
          <w:tcPr>
            <w:tcW w:w="1578" w:type="dxa"/>
            <w:shd w:val="clear" w:color="auto" w:fill="auto"/>
            <w:vAlign w:val="center"/>
          </w:tcPr>
          <w:p w:rsidR="00FA08FA" w:rsidRPr="00A7406A" w:rsidRDefault="00FA08FA" w:rsidP="00C61DAF">
            <w:pPr>
              <w:jc w:val="center"/>
              <w:rPr>
                <w:sz w:val="20"/>
                <w:szCs w:val="20"/>
                <w:lang w:val="sr-Cyrl-CS"/>
              </w:rPr>
            </w:pPr>
            <w:r w:rsidRPr="00A7406A">
              <w:rPr>
                <w:sz w:val="20"/>
                <w:szCs w:val="20"/>
                <w:lang w:val="sr-Cyrl-CS"/>
              </w:rPr>
              <w:t>Српски језик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FA08FA" w:rsidRPr="00A7406A" w:rsidRDefault="00FA08FA" w:rsidP="00FA64EA">
            <w:pPr>
              <w:jc w:val="center"/>
              <w:rPr>
                <w:sz w:val="22"/>
                <w:szCs w:val="22"/>
                <w:lang w:val="sr-Cyrl-CS"/>
              </w:rPr>
            </w:pPr>
            <w:r w:rsidRPr="00A7406A">
              <w:rPr>
                <w:sz w:val="22"/>
                <w:szCs w:val="22"/>
                <w:lang w:val="sr-Cyrl-CS"/>
              </w:rPr>
              <w:t>18.792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FA08FA" w:rsidRPr="00A7406A" w:rsidRDefault="00FA08FA" w:rsidP="00FA64EA">
            <w:pPr>
              <w:jc w:val="center"/>
              <w:rPr>
                <w:sz w:val="22"/>
                <w:szCs w:val="22"/>
                <w:lang w:val="sr-Cyrl-CS"/>
              </w:rPr>
            </w:pPr>
            <w:r w:rsidRPr="00A7406A">
              <w:rPr>
                <w:sz w:val="22"/>
                <w:szCs w:val="22"/>
                <w:lang w:val="sr-Cyrl-CS"/>
              </w:rPr>
              <w:t>17.794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FA08FA" w:rsidRPr="00A7406A" w:rsidRDefault="00FA08FA" w:rsidP="00FA64EA">
            <w:pPr>
              <w:jc w:val="center"/>
              <w:rPr>
                <w:sz w:val="22"/>
                <w:szCs w:val="22"/>
                <w:lang w:val="sr-Cyrl-CS"/>
              </w:rPr>
            </w:pPr>
            <w:r w:rsidRPr="00A7406A">
              <w:rPr>
                <w:sz w:val="22"/>
                <w:szCs w:val="22"/>
                <w:lang w:val="sr-Cyrl-CS"/>
              </w:rPr>
              <w:t>17.806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FA08FA" w:rsidRPr="00A7406A" w:rsidRDefault="00FA08FA" w:rsidP="00FA64EA">
            <w:pPr>
              <w:jc w:val="center"/>
              <w:rPr>
                <w:sz w:val="22"/>
                <w:szCs w:val="22"/>
              </w:rPr>
            </w:pPr>
            <w:r w:rsidRPr="00A7406A">
              <w:rPr>
                <w:sz w:val="22"/>
                <w:szCs w:val="22"/>
                <w:lang w:val="sr-Cyrl-CS"/>
              </w:rPr>
              <w:t>1</w:t>
            </w:r>
            <w:r w:rsidRPr="00A7406A">
              <w:rPr>
                <w:sz w:val="22"/>
                <w:szCs w:val="22"/>
              </w:rPr>
              <w:t>5</w:t>
            </w:r>
            <w:r w:rsidRPr="00A7406A">
              <w:rPr>
                <w:sz w:val="22"/>
                <w:szCs w:val="22"/>
                <w:lang w:val="sr-Cyrl-CS"/>
              </w:rPr>
              <w:t>.</w:t>
            </w:r>
            <w:r w:rsidRPr="00A7406A">
              <w:rPr>
                <w:sz w:val="22"/>
                <w:szCs w:val="22"/>
              </w:rPr>
              <w:t>726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FA08FA" w:rsidRPr="00A7406A" w:rsidRDefault="00FA08FA" w:rsidP="00FA08FA">
            <w:pPr>
              <w:jc w:val="center"/>
              <w:rPr>
                <w:sz w:val="22"/>
                <w:szCs w:val="22"/>
              </w:rPr>
            </w:pPr>
            <w:r w:rsidRPr="00A7406A">
              <w:rPr>
                <w:sz w:val="22"/>
                <w:szCs w:val="22"/>
                <w:lang w:val="sr-Cyrl-CS"/>
              </w:rPr>
              <w:t>1</w:t>
            </w:r>
            <w:r w:rsidRPr="00A7406A">
              <w:rPr>
                <w:sz w:val="22"/>
                <w:szCs w:val="22"/>
              </w:rPr>
              <w:t>4</w:t>
            </w:r>
            <w:r w:rsidRPr="00A7406A">
              <w:rPr>
                <w:sz w:val="22"/>
                <w:szCs w:val="22"/>
                <w:lang w:val="sr-Cyrl-CS"/>
              </w:rPr>
              <w:t>.</w:t>
            </w:r>
            <w:r w:rsidRPr="00A7406A">
              <w:rPr>
                <w:sz w:val="22"/>
                <w:szCs w:val="22"/>
              </w:rPr>
              <w:t>982</w:t>
            </w:r>
          </w:p>
        </w:tc>
      </w:tr>
      <w:tr w:rsidR="00FA08FA" w:rsidRPr="00A7406A" w:rsidTr="00C61DAF">
        <w:trPr>
          <w:trHeight w:val="390"/>
        </w:trPr>
        <w:tc>
          <w:tcPr>
            <w:tcW w:w="1578" w:type="dxa"/>
            <w:shd w:val="clear" w:color="auto" w:fill="auto"/>
            <w:vAlign w:val="center"/>
          </w:tcPr>
          <w:p w:rsidR="00FA08FA" w:rsidRPr="00A7406A" w:rsidRDefault="00FA08FA" w:rsidP="00C61DAF">
            <w:pPr>
              <w:jc w:val="center"/>
              <w:rPr>
                <w:sz w:val="20"/>
                <w:szCs w:val="20"/>
                <w:lang w:val="sr-Cyrl-CS"/>
              </w:rPr>
            </w:pPr>
            <w:r w:rsidRPr="00A7406A">
              <w:rPr>
                <w:sz w:val="20"/>
                <w:szCs w:val="20"/>
                <w:lang w:val="sr-Cyrl-CS"/>
              </w:rPr>
              <w:t>Мађарски језик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FA08FA" w:rsidRPr="00A7406A" w:rsidRDefault="00FA08FA" w:rsidP="00FA64EA">
            <w:pPr>
              <w:jc w:val="center"/>
              <w:rPr>
                <w:sz w:val="22"/>
                <w:szCs w:val="22"/>
                <w:lang w:val="sr-Cyrl-CS"/>
              </w:rPr>
            </w:pPr>
            <w:r w:rsidRPr="00A7406A">
              <w:rPr>
                <w:sz w:val="22"/>
                <w:szCs w:val="22"/>
                <w:lang w:val="sr-Cyrl-CS"/>
              </w:rPr>
              <w:t>1.954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FA08FA" w:rsidRPr="00A7406A" w:rsidRDefault="00FA08FA" w:rsidP="00FA64EA">
            <w:pPr>
              <w:jc w:val="center"/>
              <w:rPr>
                <w:sz w:val="22"/>
                <w:szCs w:val="22"/>
                <w:lang w:val="sr-Cyrl-CS"/>
              </w:rPr>
            </w:pPr>
            <w:r w:rsidRPr="00A7406A">
              <w:rPr>
                <w:sz w:val="22"/>
                <w:szCs w:val="22"/>
                <w:lang w:val="sr-Cyrl-CS"/>
              </w:rPr>
              <w:t>1.989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FA08FA" w:rsidRPr="00A7406A" w:rsidRDefault="00FA08FA" w:rsidP="00FA64EA">
            <w:pPr>
              <w:jc w:val="center"/>
              <w:rPr>
                <w:sz w:val="22"/>
                <w:szCs w:val="22"/>
                <w:lang w:val="sr-Cyrl-CS"/>
              </w:rPr>
            </w:pPr>
            <w:r w:rsidRPr="00A7406A">
              <w:rPr>
                <w:sz w:val="22"/>
                <w:szCs w:val="22"/>
                <w:lang w:val="sr-Cyrl-CS"/>
              </w:rPr>
              <w:t>1.945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FA08FA" w:rsidRPr="00A7406A" w:rsidRDefault="00FA08FA" w:rsidP="00FA64EA">
            <w:pPr>
              <w:jc w:val="center"/>
              <w:rPr>
                <w:sz w:val="22"/>
                <w:szCs w:val="22"/>
              </w:rPr>
            </w:pPr>
            <w:r w:rsidRPr="00A7406A">
              <w:rPr>
                <w:sz w:val="22"/>
                <w:szCs w:val="22"/>
                <w:lang w:val="sr-Cyrl-CS"/>
              </w:rPr>
              <w:t>1.</w:t>
            </w:r>
            <w:r w:rsidRPr="00A7406A">
              <w:rPr>
                <w:sz w:val="22"/>
                <w:szCs w:val="22"/>
              </w:rPr>
              <w:t>679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FA08FA" w:rsidRPr="00A7406A" w:rsidRDefault="00FA08FA" w:rsidP="00FA08FA">
            <w:pPr>
              <w:jc w:val="center"/>
              <w:rPr>
                <w:sz w:val="22"/>
                <w:szCs w:val="22"/>
              </w:rPr>
            </w:pPr>
            <w:r w:rsidRPr="00A7406A">
              <w:rPr>
                <w:sz w:val="22"/>
                <w:szCs w:val="22"/>
                <w:lang w:val="sr-Cyrl-CS"/>
              </w:rPr>
              <w:t>1.</w:t>
            </w:r>
            <w:r w:rsidRPr="00A7406A">
              <w:rPr>
                <w:sz w:val="22"/>
                <w:szCs w:val="22"/>
              </w:rPr>
              <w:t>544</w:t>
            </w:r>
          </w:p>
        </w:tc>
      </w:tr>
      <w:tr w:rsidR="00FA08FA" w:rsidRPr="00A7406A" w:rsidTr="00C61DAF">
        <w:trPr>
          <w:trHeight w:val="390"/>
        </w:trPr>
        <w:tc>
          <w:tcPr>
            <w:tcW w:w="1578" w:type="dxa"/>
            <w:shd w:val="clear" w:color="auto" w:fill="auto"/>
            <w:vAlign w:val="center"/>
          </w:tcPr>
          <w:p w:rsidR="00FA08FA" w:rsidRPr="00A7406A" w:rsidRDefault="00FA08FA" w:rsidP="00C61DAF">
            <w:pPr>
              <w:jc w:val="center"/>
              <w:rPr>
                <w:sz w:val="20"/>
                <w:szCs w:val="20"/>
                <w:lang w:val="sr-Cyrl-CS"/>
              </w:rPr>
            </w:pPr>
            <w:r w:rsidRPr="00A7406A">
              <w:rPr>
                <w:sz w:val="20"/>
                <w:szCs w:val="20"/>
                <w:lang w:val="sr-Cyrl-CS"/>
              </w:rPr>
              <w:t>Словачки језик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FA08FA" w:rsidRPr="00A7406A" w:rsidRDefault="00FA08FA" w:rsidP="00FA64EA">
            <w:pPr>
              <w:jc w:val="center"/>
              <w:rPr>
                <w:sz w:val="22"/>
                <w:szCs w:val="22"/>
                <w:lang w:val="sr-Cyrl-CS"/>
              </w:rPr>
            </w:pPr>
            <w:r w:rsidRPr="00A7406A">
              <w:rPr>
                <w:sz w:val="22"/>
                <w:szCs w:val="22"/>
                <w:lang w:val="sr-Cyrl-CS"/>
              </w:rPr>
              <w:t>97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FA08FA" w:rsidRPr="00A7406A" w:rsidRDefault="00FA08FA" w:rsidP="00FA64EA">
            <w:pPr>
              <w:jc w:val="center"/>
              <w:rPr>
                <w:sz w:val="22"/>
                <w:szCs w:val="22"/>
                <w:lang w:val="sr-Cyrl-CS"/>
              </w:rPr>
            </w:pPr>
            <w:r w:rsidRPr="00A7406A">
              <w:rPr>
                <w:sz w:val="22"/>
                <w:szCs w:val="22"/>
                <w:lang w:val="sr-Cyrl-CS"/>
              </w:rPr>
              <w:t>97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FA08FA" w:rsidRPr="00A7406A" w:rsidRDefault="00FA08FA" w:rsidP="00FA64EA">
            <w:pPr>
              <w:jc w:val="center"/>
              <w:rPr>
                <w:sz w:val="22"/>
                <w:szCs w:val="22"/>
                <w:lang w:val="sr-Cyrl-CS"/>
              </w:rPr>
            </w:pPr>
            <w:r w:rsidRPr="00A7406A">
              <w:rPr>
                <w:sz w:val="22"/>
                <w:szCs w:val="22"/>
                <w:lang w:val="sr-Cyrl-CS"/>
              </w:rPr>
              <w:t>112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FA08FA" w:rsidRPr="00A7406A" w:rsidRDefault="00FA08FA" w:rsidP="00FA64EA">
            <w:pPr>
              <w:jc w:val="center"/>
              <w:rPr>
                <w:sz w:val="22"/>
                <w:szCs w:val="22"/>
              </w:rPr>
            </w:pPr>
            <w:r w:rsidRPr="00A7406A">
              <w:rPr>
                <w:sz w:val="22"/>
                <w:szCs w:val="22"/>
                <w:lang w:val="sr-Cyrl-CS"/>
              </w:rPr>
              <w:t>1</w:t>
            </w:r>
            <w:r w:rsidRPr="00A7406A">
              <w:rPr>
                <w:sz w:val="22"/>
                <w:szCs w:val="22"/>
              </w:rPr>
              <w:t>00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FA08FA" w:rsidRPr="00A7406A" w:rsidRDefault="00FA08FA" w:rsidP="00FA08FA">
            <w:pPr>
              <w:jc w:val="center"/>
              <w:rPr>
                <w:sz w:val="22"/>
                <w:szCs w:val="22"/>
              </w:rPr>
            </w:pPr>
            <w:r w:rsidRPr="00A7406A">
              <w:rPr>
                <w:sz w:val="22"/>
                <w:szCs w:val="22"/>
                <w:lang w:val="sr-Cyrl-CS"/>
              </w:rPr>
              <w:t>1</w:t>
            </w:r>
            <w:r w:rsidRPr="00A7406A">
              <w:rPr>
                <w:sz w:val="22"/>
                <w:szCs w:val="22"/>
              </w:rPr>
              <w:t>03</w:t>
            </w:r>
          </w:p>
        </w:tc>
      </w:tr>
      <w:tr w:rsidR="00FA08FA" w:rsidRPr="00A7406A" w:rsidTr="00C61DAF">
        <w:trPr>
          <w:trHeight w:val="390"/>
        </w:trPr>
        <w:tc>
          <w:tcPr>
            <w:tcW w:w="1578" w:type="dxa"/>
            <w:shd w:val="clear" w:color="auto" w:fill="auto"/>
            <w:vAlign w:val="center"/>
          </w:tcPr>
          <w:p w:rsidR="00FA08FA" w:rsidRPr="00A7406A" w:rsidRDefault="00FA08FA" w:rsidP="00C61DAF">
            <w:pPr>
              <w:jc w:val="center"/>
              <w:rPr>
                <w:sz w:val="20"/>
                <w:szCs w:val="20"/>
                <w:lang w:val="sr-Cyrl-CS"/>
              </w:rPr>
            </w:pPr>
            <w:r w:rsidRPr="00A7406A">
              <w:rPr>
                <w:sz w:val="20"/>
                <w:szCs w:val="20"/>
                <w:lang w:val="sr-Cyrl-CS"/>
              </w:rPr>
              <w:t>Румунски језик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FA08FA" w:rsidRPr="00A7406A" w:rsidRDefault="00FA08FA" w:rsidP="00FA64EA">
            <w:pPr>
              <w:jc w:val="center"/>
              <w:rPr>
                <w:sz w:val="22"/>
                <w:szCs w:val="22"/>
                <w:lang w:val="sr-Cyrl-CS"/>
              </w:rPr>
            </w:pPr>
            <w:r w:rsidRPr="00A7406A">
              <w:rPr>
                <w:sz w:val="22"/>
                <w:szCs w:val="22"/>
                <w:lang w:val="sr-Cyrl-CS"/>
              </w:rPr>
              <w:t>39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FA08FA" w:rsidRPr="00A7406A" w:rsidRDefault="00FA08FA" w:rsidP="00FA64EA">
            <w:pPr>
              <w:jc w:val="center"/>
              <w:rPr>
                <w:sz w:val="22"/>
                <w:szCs w:val="22"/>
                <w:lang w:val="sr-Cyrl-CS"/>
              </w:rPr>
            </w:pPr>
            <w:r w:rsidRPr="00A7406A">
              <w:rPr>
                <w:sz w:val="22"/>
                <w:szCs w:val="22"/>
                <w:lang w:val="sr-Cyrl-CS"/>
              </w:rPr>
              <w:t>64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FA08FA" w:rsidRPr="00A7406A" w:rsidRDefault="00FA08FA" w:rsidP="00FA64EA">
            <w:pPr>
              <w:jc w:val="center"/>
              <w:rPr>
                <w:sz w:val="22"/>
                <w:szCs w:val="22"/>
                <w:lang w:val="sr-Cyrl-CS"/>
              </w:rPr>
            </w:pPr>
            <w:r w:rsidRPr="00A7406A">
              <w:rPr>
                <w:sz w:val="22"/>
                <w:szCs w:val="22"/>
                <w:lang w:val="sr-Cyrl-CS"/>
              </w:rPr>
              <w:t>46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FA08FA" w:rsidRPr="00A7406A" w:rsidRDefault="00FA08FA" w:rsidP="00FA64EA">
            <w:pPr>
              <w:jc w:val="center"/>
              <w:rPr>
                <w:sz w:val="22"/>
                <w:szCs w:val="22"/>
              </w:rPr>
            </w:pPr>
            <w:r w:rsidRPr="00A7406A">
              <w:rPr>
                <w:sz w:val="22"/>
                <w:szCs w:val="22"/>
                <w:lang w:val="sr-Cyrl-CS"/>
              </w:rPr>
              <w:t>4</w:t>
            </w:r>
            <w:r w:rsidRPr="00A7406A">
              <w:rPr>
                <w:sz w:val="22"/>
                <w:szCs w:val="22"/>
              </w:rPr>
              <w:t>9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FA08FA" w:rsidRPr="00A7406A" w:rsidRDefault="00FA08FA" w:rsidP="00C61DAF">
            <w:pPr>
              <w:jc w:val="center"/>
              <w:rPr>
                <w:sz w:val="22"/>
                <w:szCs w:val="22"/>
              </w:rPr>
            </w:pPr>
            <w:r w:rsidRPr="00A7406A">
              <w:rPr>
                <w:sz w:val="22"/>
                <w:szCs w:val="22"/>
              </w:rPr>
              <w:t>57</w:t>
            </w:r>
          </w:p>
        </w:tc>
      </w:tr>
      <w:tr w:rsidR="00FA08FA" w:rsidRPr="00A7406A" w:rsidTr="00C61DAF">
        <w:trPr>
          <w:trHeight w:val="390"/>
        </w:trPr>
        <w:tc>
          <w:tcPr>
            <w:tcW w:w="1578" w:type="dxa"/>
            <w:shd w:val="clear" w:color="auto" w:fill="auto"/>
            <w:vAlign w:val="center"/>
          </w:tcPr>
          <w:p w:rsidR="00FA08FA" w:rsidRPr="00A7406A" w:rsidRDefault="00FA08FA" w:rsidP="00C61DAF">
            <w:pPr>
              <w:jc w:val="center"/>
              <w:rPr>
                <w:sz w:val="20"/>
                <w:szCs w:val="20"/>
                <w:lang w:val="sr-Cyrl-CS"/>
              </w:rPr>
            </w:pPr>
            <w:r w:rsidRPr="00A7406A">
              <w:rPr>
                <w:sz w:val="20"/>
                <w:szCs w:val="20"/>
                <w:lang w:val="sr-Cyrl-CS"/>
              </w:rPr>
              <w:t>Русински језик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FA08FA" w:rsidRPr="00A7406A" w:rsidRDefault="00FA08FA" w:rsidP="00FA64EA">
            <w:pPr>
              <w:jc w:val="center"/>
              <w:rPr>
                <w:sz w:val="22"/>
                <w:szCs w:val="22"/>
                <w:lang w:val="sr-Cyrl-CS"/>
              </w:rPr>
            </w:pPr>
            <w:r w:rsidRPr="00A7406A">
              <w:rPr>
                <w:sz w:val="22"/>
                <w:szCs w:val="22"/>
                <w:lang w:val="sr-Cyrl-CS"/>
              </w:rPr>
              <w:t>15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FA08FA" w:rsidRPr="00A7406A" w:rsidRDefault="00FA08FA" w:rsidP="00FA64EA">
            <w:pPr>
              <w:jc w:val="center"/>
              <w:rPr>
                <w:sz w:val="22"/>
                <w:szCs w:val="22"/>
                <w:lang w:val="sr-Cyrl-CS"/>
              </w:rPr>
            </w:pPr>
            <w:r w:rsidRPr="00A7406A">
              <w:rPr>
                <w:sz w:val="22"/>
                <w:szCs w:val="22"/>
                <w:lang w:val="sr-Cyrl-CS"/>
              </w:rPr>
              <w:t>14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FA08FA" w:rsidRPr="00A7406A" w:rsidRDefault="00FA08FA" w:rsidP="00FA64EA">
            <w:pPr>
              <w:jc w:val="center"/>
              <w:rPr>
                <w:sz w:val="22"/>
                <w:szCs w:val="22"/>
                <w:lang w:val="sr-Cyrl-CS"/>
              </w:rPr>
            </w:pPr>
            <w:r w:rsidRPr="00A7406A">
              <w:rPr>
                <w:sz w:val="22"/>
                <w:szCs w:val="22"/>
                <w:lang w:val="sr-Cyrl-CS"/>
              </w:rPr>
              <w:t>18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FA08FA" w:rsidRPr="00A7406A" w:rsidRDefault="00FA08FA" w:rsidP="00FA64EA">
            <w:pPr>
              <w:jc w:val="center"/>
              <w:rPr>
                <w:sz w:val="22"/>
                <w:szCs w:val="22"/>
              </w:rPr>
            </w:pPr>
            <w:r w:rsidRPr="00A7406A">
              <w:rPr>
                <w:sz w:val="22"/>
                <w:szCs w:val="22"/>
                <w:lang w:val="sr-Cyrl-CS"/>
              </w:rPr>
              <w:t>1</w:t>
            </w:r>
            <w:r w:rsidRPr="00A7406A">
              <w:rPr>
                <w:sz w:val="22"/>
                <w:szCs w:val="22"/>
              </w:rPr>
              <w:t>1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FA08FA" w:rsidRPr="00A7406A" w:rsidRDefault="00FA08FA" w:rsidP="00C61DAF">
            <w:pPr>
              <w:jc w:val="center"/>
              <w:rPr>
                <w:sz w:val="22"/>
                <w:szCs w:val="22"/>
              </w:rPr>
            </w:pPr>
            <w:r w:rsidRPr="00A7406A">
              <w:rPr>
                <w:sz w:val="22"/>
                <w:szCs w:val="22"/>
                <w:lang w:val="sr-Cyrl-CS"/>
              </w:rPr>
              <w:t>1</w:t>
            </w:r>
            <w:r w:rsidRPr="00A7406A">
              <w:rPr>
                <w:sz w:val="22"/>
                <w:szCs w:val="22"/>
              </w:rPr>
              <w:t>3</w:t>
            </w:r>
          </w:p>
        </w:tc>
      </w:tr>
      <w:tr w:rsidR="00FA08FA" w:rsidRPr="00A7406A" w:rsidTr="00C61DAF">
        <w:trPr>
          <w:trHeight w:val="390"/>
        </w:trPr>
        <w:tc>
          <w:tcPr>
            <w:tcW w:w="1578" w:type="dxa"/>
            <w:shd w:val="clear" w:color="auto" w:fill="auto"/>
            <w:vAlign w:val="center"/>
          </w:tcPr>
          <w:p w:rsidR="00FA08FA" w:rsidRPr="00A7406A" w:rsidRDefault="00FA08FA" w:rsidP="00C61DAF">
            <w:pPr>
              <w:jc w:val="center"/>
              <w:rPr>
                <w:sz w:val="20"/>
                <w:szCs w:val="20"/>
                <w:lang w:val="sr-Cyrl-CS"/>
              </w:rPr>
            </w:pPr>
            <w:r w:rsidRPr="00A7406A">
              <w:rPr>
                <w:sz w:val="20"/>
                <w:szCs w:val="20"/>
                <w:lang w:val="sr-Cyrl-CS"/>
              </w:rPr>
              <w:t>Хрватски језик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FA08FA" w:rsidRPr="00A7406A" w:rsidRDefault="00FA08FA" w:rsidP="00FA64EA">
            <w:pPr>
              <w:jc w:val="center"/>
              <w:rPr>
                <w:sz w:val="22"/>
                <w:szCs w:val="22"/>
                <w:lang w:val="sr-Cyrl-CS"/>
              </w:rPr>
            </w:pPr>
            <w:r w:rsidRPr="00A7406A">
              <w:rPr>
                <w:sz w:val="22"/>
                <w:szCs w:val="22"/>
                <w:lang w:val="sr-Cyrl-CS"/>
              </w:rPr>
              <w:t>37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FA08FA" w:rsidRPr="00A7406A" w:rsidRDefault="00FA08FA" w:rsidP="00FA64EA">
            <w:pPr>
              <w:jc w:val="center"/>
              <w:rPr>
                <w:sz w:val="22"/>
                <w:szCs w:val="22"/>
                <w:lang w:val="sr-Cyrl-CS"/>
              </w:rPr>
            </w:pPr>
            <w:r w:rsidRPr="00A7406A">
              <w:rPr>
                <w:sz w:val="22"/>
                <w:szCs w:val="22"/>
                <w:lang w:val="sr-Cyrl-CS"/>
              </w:rPr>
              <w:t>36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FA08FA" w:rsidRPr="00A7406A" w:rsidRDefault="00FA08FA" w:rsidP="00FA64EA">
            <w:pPr>
              <w:jc w:val="center"/>
              <w:rPr>
                <w:sz w:val="22"/>
                <w:szCs w:val="22"/>
                <w:lang w:val="sr-Cyrl-CS"/>
              </w:rPr>
            </w:pPr>
            <w:r w:rsidRPr="00A7406A">
              <w:rPr>
                <w:sz w:val="22"/>
                <w:szCs w:val="22"/>
                <w:lang w:val="sr-Cyrl-CS"/>
              </w:rPr>
              <w:t>34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FA08FA" w:rsidRPr="00A7406A" w:rsidRDefault="00FA08FA" w:rsidP="00FA64EA">
            <w:pPr>
              <w:jc w:val="center"/>
              <w:rPr>
                <w:sz w:val="22"/>
                <w:szCs w:val="22"/>
              </w:rPr>
            </w:pPr>
            <w:r w:rsidRPr="00A7406A">
              <w:rPr>
                <w:sz w:val="22"/>
                <w:szCs w:val="22"/>
              </w:rPr>
              <w:t>40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FA08FA" w:rsidRPr="00A7406A" w:rsidRDefault="00FA08FA" w:rsidP="00C61DAF">
            <w:pPr>
              <w:jc w:val="center"/>
              <w:rPr>
                <w:sz w:val="22"/>
                <w:szCs w:val="22"/>
              </w:rPr>
            </w:pPr>
            <w:r w:rsidRPr="00A7406A">
              <w:rPr>
                <w:sz w:val="22"/>
                <w:szCs w:val="22"/>
              </w:rPr>
              <w:t>34</w:t>
            </w:r>
          </w:p>
        </w:tc>
      </w:tr>
      <w:tr w:rsidR="00FA08FA" w:rsidRPr="00A7406A" w:rsidTr="00C61DAF">
        <w:trPr>
          <w:trHeight w:val="390"/>
        </w:trPr>
        <w:tc>
          <w:tcPr>
            <w:tcW w:w="1578" w:type="dxa"/>
            <w:shd w:val="clear" w:color="auto" w:fill="auto"/>
            <w:vAlign w:val="center"/>
          </w:tcPr>
          <w:p w:rsidR="00FA08FA" w:rsidRPr="00A7406A" w:rsidRDefault="00FA08FA" w:rsidP="00C61DAF">
            <w:pPr>
              <w:jc w:val="center"/>
              <w:rPr>
                <w:sz w:val="20"/>
                <w:szCs w:val="20"/>
                <w:lang w:val="sr-Cyrl-CS"/>
              </w:rPr>
            </w:pPr>
            <w:r w:rsidRPr="00A7406A">
              <w:rPr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FA08FA" w:rsidRPr="00A7406A" w:rsidRDefault="00FA08FA" w:rsidP="00FA64EA">
            <w:pPr>
              <w:jc w:val="center"/>
              <w:rPr>
                <w:sz w:val="22"/>
                <w:szCs w:val="22"/>
                <w:lang w:val="sr-Cyrl-CS"/>
              </w:rPr>
            </w:pPr>
            <w:r w:rsidRPr="00A7406A">
              <w:rPr>
                <w:sz w:val="22"/>
                <w:szCs w:val="22"/>
                <w:lang w:val="sr-Cyrl-CS"/>
              </w:rPr>
              <w:t>20.934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FA08FA" w:rsidRPr="00A7406A" w:rsidRDefault="00FA08FA" w:rsidP="00FA64EA">
            <w:pPr>
              <w:jc w:val="center"/>
              <w:rPr>
                <w:sz w:val="22"/>
                <w:szCs w:val="22"/>
                <w:lang w:val="sr-Cyrl-CS"/>
              </w:rPr>
            </w:pPr>
            <w:r w:rsidRPr="00A7406A">
              <w:rPr>
                <w:sz w:val="22"/>
                <w:szCs w:val="22"/>
                <w:lang w:val="sr-Cyrl-CS"/>
              </w:rPr>
              <w:t>19.994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FA08FA" w:rsidRPr="00A7406A" w:rsidRDefault="00FA08FA" w:rsidP="00FA64EA">
            <w:pPr>
              <w:jc w:val="center"/>
              <w:rPr>
                <w:sz w:val="22"/>
                <w:szCs w:val="22"/>
                <w:lang w:val="sr-Cyrl-CS"/>
              </w:rPr>
            </w:pPr>
            <w:r w:rsidRPr="00A7406A">
              <w:rPr>
                <w:sz w:val="22"/>
                <w:szCs w:val="22"/>
                <w:lang w:val="sr-Cyrl-CS"/>
              </w:rPr>
              <w:t>19.961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FA08FA" w:rsidRPr="00A7406A" w:rsidRDefault="00FA08FA" w:rsidP="00FA64EA">
            <w:pPr>
              <w:jc w:val="center"/>
              <w:rPr>
                <w:sz w:val="22"/>
                <w:szCs w:val="22"/>
              </w:rPr>
            </w:pPr>
            <w:r w:rsidRPr="00A7406A">
              <w:rPr>
                <w:sz w:val="22"/>
                <w:szCs w:val="22"/>
                <w:lang w:val="sr-Cyrl-CS"/>
              </w:rPr>
              <w:t>1</w:t>
            </w:r>
            <w:r w:rsidRPr="00A7406A">
              <w:rPr>
                <w:sz w:val="22"/>
                <w:szCs w:val="22"/>
              </w:rPr>
              <w:t>7</w:t>
            </w:r>
            <w:r w:rsidRPr="00A7406A">
              <w:rPr>
                <w:sz w:val="22"/>
                <w:szCs w:val="22"/>
                <w:lang w:val="sr-Cyrl-CS"/>
              </w:rPr>
              <w:t>.</w:t>
            </w:r>
            <w:r w:rsidRPr="00A7406A">
              <w:rPr>
                <w:sz w:val="22"/>
                <w:szCs w:val="22"/>
              </w:rPr>
              <w:t>605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FA08FA" w:rsidRPr="00A7406A" w:rsidRDefault="00FA08FA" w:rsidP="00FA08FA">
            <w:pPr>
              <w:jc w:val="center"/>
              <w:rPr>
                <w:sz w:val="22"/>
                <w:szCs w:val="22"/>
              </w:rPr>
            </w:pPr>
            <w:r w:rsidRPr="00A7406A">
              <w:rPr>
                <w:sz w:val="22"/>
                <w:szCs w:val="22"/>
                <w:lang w:val="sr-Cyrl-CS"/>
              </w:rPr>
              <w:t>1</w:t>
            </w:r>
            <w:r w:rsidRPr="00A7406A">
              <w:rPr>
                <w:sz w:val="22"/>
                <w:szCs w:val="22"/>
              </w:rPr>
              <w:t>6</w:t>
            </w:r>
            <w:r w:rsidRPr="00A7406A">
              <w:rPr>
                <w:sz w:val="22"/>
                <w:szCs w:val="22"/>
                <w:lang w:val="sr-Cyrl-CS"/>
              </w:rPr>
              <w:t>.</w:t>
            </w:r>
            <w:r w:rsidRPr="00A7406A">
              <w:rPr>
                <w:sz w:val="22"/>
                <w:szCs w:val="22"/>
              </w:rPr>
              <w:t>733</w:t>
            </w:r>
          </w:p>
        </w:tc>
      </w:tr>
    </w:tbl>
    <w:p w:rsidR="00C330E4" w:rsidRPr="00A7406A" w:rsidRDefault="00A968D5" w:rsidP="00A968D5">
      <w:pPr>
        <w:jc w:val="both"/>
        <w:rPr>
          <w:bCs/>
          <w:lang w:val="sr-Cyrl-CS"/>
        </w:rPr>
      </w:pPr>
      <w:r w:rsidRPr="00A7406A">
        <w:rPr>
          <w:b/>
          <w:bCs/>
          <w:noProof/>
        </w:rPr>
        <w:lastRenderedPageBreak/>
        <w:drawing>
          <wp:inline distT="0" distB="0" distL="0" distR="0" wp14:anchorId="2311B2ED" wp14:editId="7909F580">
            <wp:extent cx="5619750" cy="3752850"/>
            <wp:effectExtent l="0" t="0" r="0" b="0"/>
            <wp:docPr id="7" name="Chart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r w:rsidRPr="00A7406A">
        <w:rPr>
          <w:bCs/>
          <w:lang w:val="sr-Cyrl-CS"/>
        </w:rPr>
        <w:t xml:space="preserve">         </w:t>
      </w:r>
    </w:p>
    <w:p w:rsidR="00C330E4" w:rsidRPr="00A7406A" w:rsidRDefault="00C330E4" w:rsidP="00A968D5">
      <w:pPr>
        <w:jc w:val="both"/>
        <w:rPr>
          <w:bCs/>
          <w:lang w:val="sr-Cyrl-CS"/>
        </w:rPr>
      </w:pPr>
    </w:p>
    <w:p w:rsidR="00A968D5" w:rsidRPr="00A7406A" w:rsidRDefault="007C36DB" w:rsidP="00C330E4">
      <w:pPr>
        <w:ind w:firstLine="720"/>
        <w:jc w:val="both"/>
        <w:rPr>
          <w:bCs/>
          <w:lang w:val="sr-Cyrl-CS"/>
        </w:rPr>
      </w:pPr>
      <w:r w:rsidRPr="00A7406A">
        <w:rPr>
          <w:bCs/>
          <w:lang w:val="sr-Cyrl-RS"/>
        </w:rPr>
        <w:t>Током последњих пет школских година број ученика уписан у први разред средњих школа континуирано опада, тако да је ш</w:t>
      </w:r>
      <w:r w:rsidR="00A968D5" w:rsidRPr="00A7406A">
        <w:rPr>
          <w:bCs/>
          <w:lang w:val="sr-Cyrl-CS"/>
        </w:rPr>
        <w:t>колске 201</w:t>
      </w:r>
      <w:r w:rsidRPr="00A7406A">
        <w:rPr>
          <w:bCs/>
        </w:rPr>
        <w:t>4</w:t>
      </w:r>
      <w:r w:rsidR="00A968D5" w:rsidRPr="00A7406A">
        <w:rPr>
          <w:bCs/>
          <w:lang w:val="sr-Cyrl-CS"/>
        </w:rPr>
        <w:t>/201</w:t>
      </w:r>
      <w:r w:rsidRPr="00A7406A">
        <w:rPr>
          <w:bCs/>
        </w:rPr>
        <w:t>5</w:t>
      </w:r>
      <w:r w:rsidR="00A968D5" w:rsidRPr="00A7406A">
        <w:rPr>
          <w:bCs/>
          <w:lang w:val="sr-Cyrl-CS"/>
        </w:rPr>
        <w:t xml:space="preserve">. </w:t>
      </w:r>
      <w:r w:rsidRPr="00A7406A">
        <w:rPr>
          <w:bCs/>
          <w:lang w:val="sr-Cyrl-CS"/>
        </w:rPr>
        <w:t>г</w:t>
      </w:r>
      <w:r w:rsidR="00A968D5" w:rsidRPr="00A7406A">
        <w:rPr>
          <w:bCs/>
          <w:lang w:val="sr-Cyrl-CS"/>
        </w:rPr>
        <w:t>одине</w:t>
      </w:r>
      <w:r w:rsidRPr="00A7406A">
        <w:rPr>
          <w:bCs/>
          <w:lang w:val="sr-Cyrl-CS"/>
        </w:rPr>
        <w:t xml:space="preserve"> мањи за чак 20,07% у односу на школску 2010/2011. годину.</w:t>
      </w:r>
    </w:p>
    <w:p w:rsidR="00A968D5" w:rsidRPr="00A7406A" w:rsidRDefault="00A968D5" w:rsidP="00A968D5">
      <w:pPr>
        <w:jc w:val="both"/>
        <w:rPr>
          <w:bCs/>
          <w:lang w:val="sr-Cyrl-CS"/>
        </w:rPr>
      </w:pPr>
    </w:p>
    <w:p w:rsidR="006661B7" w:rsidRPr="00A7406A" w:rsidRDefault="006661B7" w:rsidP="00A968D5">
      <w:pPr>
        <w:jc w:val="both"/>
        <w:rPr>
          <w:b/>
          <w:bCs/>
          <w:lang w:val="sr-Cyrl-CS"/>
        </w:rPr>
      </w:pPr>
    </w:p>
    <w:p w:rsidR="00A968D5" w:rsidRPr="00A7406A" w:rsidRDefault="00A968D5" w:rsidP="00A968D5">
      <w:pPr>
        <w:jc w:val="both"/>
        <w:rPr>
          <w:b/>
          <w:bCs/>
          <w:lang w:val="sr-Cyrl-CS"/>
        </w:rPr>
      </w:pPr>
      <w:r w:rsidRPr="00A7406A">
        <w:rPr>
          <w:b/>
          <w:bCs/>
          <w:lang w:val="sr-Cyrl-CS"/>
        </w:rPr>
        <w:t xml:space="preserve"> </w:t>
      </w:r>
    </w:p>
    <w:p w:rsidR="00A968D5" w:rsidRPr="00A7406A" w:rsidRDefault="00A968D5" w:rsidP="00A968D5">
      <w:pPr>
        <w:jc w:val="both"/>
        <w:rPr>
          <w:bCs/>
          <w:lang w:val="sr-Cyrl-CS"/>
        </w:rPr>
      </w:pPr>
      <w:r w:rsidRPr="00A7406A">
        <w:rPr>
          <w:b/>
          <w:bCs/>
          <w:lang w:val="sr-Cyrl-CS"/>
        </w:rPr>
        <w:t xml:space="preserve">         </w:t>
      </w:r>
      <w:r w:rsidRPr="00A7406A">
        <w:rPr>
          <w:bCs/>
          <w:lang w:val="sr-Cyrl-CS"/>
        </w:rPr>
        <w:t>Кретање броја ученика у петогодишњем периоду, према језику образовноваспитног рада, приказују следећи графикони:</w:t>
      </w:r>
    </w:p>
    <w:p w:rsidR="00A968D5" w:rsidRPr="00A7406A" w:rsidRDefault="00A968D5" w:rsidP="00A968D5">
      <w:pPr>
        <w:jc w:val="center"/>
        <w:rPr>
          <w:bCs/>
          <w:lang w:val="sr-Cyrl-CS"/>
        </w:rPr>
      </w:pPr>
      <w:r w:rsidRPr="00A7406A">
        <w:rPr>
          <w:bCs/>
          <w:noProof/>
        </w:rPr>
        <w:drawing>
          <wp:inline distT="0" distB="0" distL="0" distR="0" wp14:anchorId="37003C0C" wp14:editId="1F0C6E01">
            <wp:extent cx="5448300" cy="2457450"/>
            <wp:effectExtent l="0" t="0" r="0" b="0"/>
            <wp:docPr id="6" name="Chart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A968D5" w:rsidRPr="00A7406A" w:rsidRDefault="00A968D5" w:rsidP="00A968D5">
      <w:pPr>
        <w:jc w:val="center"/>
        <w:rPr>
          <w:bCs/>
          <w:lang w:val="sr-Cyrl-CS"/>
        </w:rPr>
      </w:pPr>
      <w:r w:rsidRPr="00A7406A">
        <w:rPr>
          <w:bCs/>
          <w:noProof/>
        </w:rPr>
        <w:lastRenderedPageBreak/>
        <w:drawing>
          <wp:inline distT="0" distB="0" distL="0" distR="0" wp14:anchorId="75FAC33D" wp14:editId="3020F2AC">
            <wp:extent cx="5391150" cy="2057400"/>
            <wp:effectExtent l="0" t="0" r="0" b="0"/>
            <wp:docPr id="5" name="Chart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A968D5" w:rsidRPr="00A7406A" w:rsidRDefault="00A968D5" w:rsidP="00A968D5">
      <w:pPr>
        <w:jc w:val="center"/>
        <w:rPr>
          <w:bCs/>
          <w:lang w:val="sr-Cyrl-CS"/>
        </w:rPr>
      </w:pPr>
    </w:p>
    <w:p w:rsidR="00A968D5" w:rsidRPr="00A7406A" w:rsidRDefault="00A968D5" w:rsidP="00A968D5">
      <w:pPr>
        <w:jc w:val="center"/>
        <w:rPr>
          <w:bCs/>
          <w:lang w:val="sr-Cyrl-CS"/>
        </w:rPr>
      </w:pPr>
      <w:r w:rsidRPr="00A7406A">
        <w:rPr>
          <w:bCs/>
          <w:noProof/>
        </w:rPr>
        <w:drawing>
          <wp:inline distT="0" distB="0" distL="0" distR="0" wp14:anchorId="04EEAA07" wp14:editId="52FD7C53">
            <wp:extent cx="5114925" cy="2257425"/>
            <wp:effectExtent l="0" t="0" r="0" b="0"/>
            <wp:docPr id="4" name="Chart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A968D5" w:rsidRPr="00A7406A" w:rsidRDefault="00A968D5" w:rsidP="00A968D5">
      <w:pPr>
        <w:jc w:val="center"/>
        <w:rPr>
          <w:bCs/>
          <w:lang w:val="sr-Cyrl-CS"/>
        </w:rPr>
      </w:pPr>
    </w:p>
    <w:p w:rsidR="00A968D5" w:rsidRPr="00A7406A" w:rsidRDefault="00A968D5" w:rsidP="00A968D5">
      <w:pPr>
        <w:jc w:val="center"/>
        <w:rPr>
          <w:bCs/>
          <w:lang w:val="sr-Cyrl-CS"/>
        </w:rPr>
      </w:pPr>
      <w:r w:rsidRPr="00A7406A">
        <w:rPr>
          <w:bCs/>
          <w:noProof/>
        </w:rPr>
        <w:drawing>
          <wp:inline distT="0" distB="0" distL="0" distR="0" wp14:anchorId="23FB87BD" wp14:editId="039322D3">
            <wp:extent cx="4962525" cy="1914525"/>
            <wp:effectExtent l="0" t="0" r="0" b="0"/>
            <wp:docPr id="3" name="Chart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A968D5" w:rsidRPr="00A7406A" w:rsidRDefault="00A968D5" w:rsidP="00A968D5">
      <w:pPr>
        <w:jc w:val="center"/>
        <w:rPr>
          <w:b/>
          <w:bCs/>
          <w:lang w:val="sr-Cyrl-CS"/>
        </w:rPr>
      </w:pPr>
    </w:p>
    <w:p w:rsidR="00A968D5" w:rsidRPr="00A7406A" w:rsidRDefault="00A968D5" w:rsidP="00A968D5">
      <w:pPr>
        <w:jc w:val="center"/>
        <w:rPr>
          <w:b/>
          <w:bCs/>
          <w:lang w:val="sr-Cyrl-CS"/>
        </w:rPr>
      </w:pPr>
      <w:r w:rsidRPr="00A7406A">
        <w:rPr>
          <w:b/>
          <w:bCs/>
          <w:noProof/>
        </w:rPr>
        <w:drawing>
          <wp:inline distT="0" distB="0" distL="0" distR="0" wp14:anchorId="5170EC5B" wp14:editId="74283453">
            <wp:extent cx="5076825" cy="1828800"/>
            <wp:effectExtent l="0" t="0" r="0" b="0"/>
            <wp:docPr id="2" name="Chart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A968D5" w:rsidRPr="00A7406A" w:rsidRDefault="00A968D5" w:rsidP="00A968D5">
      <w:pPr>
        <w:jc w:val="center"/>
        <w:rPr>
          <w:b/>
          <w:bCs/>
          <w:lang w:val="sr-Cyrl-CS"/>
        </w:rPr>
      </w:pPr>
      <w:r w:rsidRPr="00A7406A">
        <w:rPr>
          <w:b/>
          <w:bCs/>
          <w:noProof/>
        </w:rPr>
        <w:lastRenderedPageBreak/>
        <w:drawing>
          <wp:inline distT="0" distB="0" distL="0" distR="0" wp14:anchorId="6BCFCB98" wp14:editId="1DC264DB">
            <wp:extent cx="4914900" cy="1828800"/>
            <wp:effectExtent l="0" t="0" r="0" b="0"/>
            <wp:docPr id="1" name="Char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A968D5" w:rsidRPr="00A7406A" w:rsidRDefault="00A968D5" w:rsidP="00A968D5">
      <w:pPr>
        <w:jc w:val="center"/>
        <w:rPr>
          <w:b/>
          <w:bCs/>
          <w:lang w:val="sr-Cyrl-CS"/>
        </w:rPr>
      </w:pPr>
    </w:p>
    <w:p w:rsidR="00A968D5" w:rsidRPr="00A7406A" w:rsidRDefault="00A968D5" w:rsidP="00A968D5">
      <w:pPr>
        <w:jc w:val="center"/>
        <w:rPr>
          <w:b/>
          <w:bCs/>
          <w:lang w:val="sr-Cyrl-CS"/>
        </w:rPr>
      </w:pPr>
    </w:p>
    <w:p w:rsidR="00A968D5" w:rsidRDefault="00A968D5" w:rsidP="00A968D5">
      <w:pPr>
        <w:jc w:val="center"/>
        <w:rPr>
          <w:b/>
          <w:bCs/>
          <w:lang w:val="sr-Cyrl-CS"/>
        </w:rPr>
      </w:pPr>
    </w:p>
    <w:p w:rsidR="00A968D5" w:rsidRPr="006770CB" w:rsidRDefault="00A968D5" w:rsidP="00A968D5">
      <w:pPr>
        <w:jc w:val="center"/>
        <w:rPr>
          <w:b/>
          <w:bCs/>
          <w:color w:val="FF0000"/>
          <w:lang w:val="sr-Cyrl-CS"/>
        </w:rPr>
      </w:pPr>
    </w:p>
    <w:p w:rsidR="00A968D5" w:rsidRPr="00A7406A" w:rsidRDefault="00A968D5" w:rsidP="00A968D5">
      <w:pPr>
        <w:jc w:val="center"/>
        <w:rPr>
          <w:b/>
          <w:lang w:val="sr-Cyrl-CS"/>
        </w:rPr>
      </w:pPr>
      <w:r w:rsidRPr="00A7406A">
        <w:rPr>
          <w:b/>
          <w:lang w:val="sr-Cyrl-CS"/>
        </w:rPr>
        <w:t>4. УПИС УЧЕНИКА У ПРВИ РАЗРЕД ПРИВАТНИХ СРЕДЊИХ ШКОЛА НА</w:t>
      </w:r>
    </w:p>
    <w:p w:rsidR="00A968D5" w:rsidRPr="00A7406A" w:rsidRDefault="00A968D5" w:rsidP="00A968D5">
      <w:pPr>
        <w:jc w:val="center"/>
        <w:rPr>
          <w:b/>
          <w:lang w:val="sr-Cyrl-CS"/>
        </w:rPr>
      </w:pPr>
      <w:r w:rsidRPr="00A7406A">
        <w:rPr>
          <w:b/>
          <w:lang w:val="sr-Cyrl-CS"/>
        </w:rPr>
        <w:t>ТЕРИТОРИЈИ АП ВОЈВОДИНЕ</w:t>
      </w:r>
    </w:p>
    <w:p w:rsidR="00A968D5" w:rsidRPr="00A7406A" w:rsidRDefault="00A968D5" w:rsidP="00A968D5">
      <w:pPr>
        <w:jc w:val="center"/>
        <w:rPr>
          <w:b/>
          <w:lang w:val="sr-Cyrl-CS"/>
        </w:rPr>
      </w:pPr>
    </w:p>
    <w:p w:rsidR="00A968D5" w:rsidRPr="006770CB" w:rsidRDefault="00A968D5" w:rsidP="00B93361">
      <w:pPr>
        <w:ind w:firstLine="912"/>
        <w:jc w:val="both"/>
        <w:rPr>
          <w:color w:val="FF0000"/>
          <w:lang w:val="sr-Cyrl-CS"/>
        </w:rPr>
      </w:pPr>
    </w:p>
    <w:p w:rsidR="00C330E4" w:rsidRPr="006770CB" w:rsidRDefault="00C330E4" w:rsidP="00B93361">
      <w:pPr>
        <w:ind w:firstLine="912"/>
        <w:jc w:val="both"/>
        <w:rPr>
          <w:color w:val="FF0000"/>
          <w:lang w:val="sr-Cyrl-CS"/>
        </w:rPr>
      </w:pPr>
    </w:p>
    <w:p w:rsidR="00A968D5" w:rsidRPr="0066566E" w:rsidRDefault="00B27B3A" w:rsidP="00B93361">
      <w:pPr>
        <w:ind w:firstLine="912"/>
        <w:jc w:val="both"/>
        <w:rPr>
          <w:lang w:val="sr-Cyrl-CS"/>
        </w:rPr>
      </w:pPr>
      <w:r>
        <w:rPr>
          <w:lang w:val="sr-Cyrl-CS"/>
        </w:rPr>
        <w:t>У школској 2014/2015. години, н</w:t>
      </w:r>
      <w:r w:rsidR="00A968D5" w:rsidRPr="00B93361">
        <w:rPr>
          <w:lang w:val="sr-Cyrl-CS"/>
        </w:rPr>
        <w:t xml:space="preserve">а територији АП Војводине </w:t>
      </w:r>
      <w:r>
        <w:rPr>
          <w:lang w:val="sr-Cyrl-CS"/>
        </w:rPr>
        <w:t>делатност средњег образовања обавља</w:t>
      </w:r>
      <w:r w:rsidR="00A968D5" w:rsidRPr="00B93361">
        <w:rPr>
          <w:lang w:val="sr-Cyrl-CS"/>
        </w:rPr>
        <w:t xml:space="preserve"> 2</w:t>
      </w:r>
      <w:r>
        <w:rPr>
          <w:lang w:val="sr-Cyrl-CS"/>
        </w:rPr>
        <w:t>1</w:t>
      </w:r>
      <w:r w:rsidR="00A968D5" w:rsidRPr="00B93361">
        <w:rPr>
          <w:lang w:val="sr-Cyrl-CS"/>
        </w:rPr>
        <w:t xml:space="preserve"> приватн</w:t>
      </w:r>
      <w:r>
        <w:rPr>
          <w:lang w:val="sr-Cyrl-CS"/>
        </w:rPr>
        <w:t>а</w:t>
      </w:r>
      <w:r w:rsidR="00A968D5" w:rsidRPr="00B93361">
        <w:rPr>
          <w:lang w:val="sr-Cyrl-CS"/>
        </w:rPr>
        <w:t xml:space="preserve"> средњ</w:t>
      </w:r>
      <w:r>
        <w:rPr>
          <w:lang w:val="sr-Cyrl-CS"/>
        </w:rPr>
        <w:t>а</w:t>
      </w:r>
      <w:r w:rsidR="00A968D5" w:rsidRPr="00B93361">
        <w:rPr>
          <w:lang w:val="sr-Cyrl-CS"/>
        </w:rPr>
        <w:t xml:space="preserve"> школ</w:t>
      </w:r>
      <w:r w:rsidR="0066566E">
        <w:rPr>
          <w:lang w:val="sr-Cyrl-CS"/>
        </w:rPr>
        <w:t>а</w:t>
      </w:r>
      <w:r w:rsidR="00A968D5" w:rsidRPr="00B93361">
        <w:rPr>
          <w:lang w:val="sr-Cyrl-CS"/>
        </w:rPr>
        <w:t xml:space="preserve"> </w:t>
      </w:r>
      <w:r w:rsidR="00A968D5" w:rsidRPr="0066566E">
        <w:rPr>
          <w:lang w:val="sr-Cyrl-CS"/>
        </w:rPr>
        <w:t>за које је Секретаријат утврдио да испуњавају услове у погледу простора, опреме, наставних средстава и потребног броја наставника за почетак рада и обављање делатности средњег образовања и васпитања.</w:t>
      </w:r>
      <w:r w:rsidRPr="0066566E">
        <w:rPr>
          <w:lang w:val="sr-Cyrl-CS"/>
        </w:rPr>
        <w:t xml:space="preserve"> </w:t>
      </w:r>
      <w:r w:rsidR="00A968D5" w:rsidRPr="0066566E">
        <w:rPr>
          <w:lang w:val="sr-Cyrl-CS"/>
        </w:rPr>
        <w:t xml:space="preserve"> </w:t>
      </w:r>
    </w:p>
    <w:p w:rsidR="00A968D5" w:rsidRPr="00B93361" w:rsidRDefault="00A968D5" w:rsidP="00B93361">
      <w:pPr>
        <w:ind w:firstLine="912"/>
        <w:jc w:val="both"/>
        <w:rPr>
          <w:lang w:val="sr-Cyrl-CS"/>
        </w:rPr>
      </w:pPr>
    </w:p>
    <w:p w:rsidR="00A968D5" w:rsidRPr="00B93361" w:rsidRDefault="00A968D5" w:rsidP="00B93361">
      <w:pPr>
        <w:ind w:firstLine="912"/>
        <w:jc w:val="both"/>
      </w:pPr>
      <w:r w:rsidRPr="00B93361">
        <w:rPr>
          <w:lang w:val="sr-Cyrl-CS"/>
        </w:rPr>
        <w:t>Податке о уписаним ученицима у школској 201</w:t>
      </w:r>
      <w:r w:rsidR="006770CB">
        <w:rPr>
          <w:lang w:val="sr-Cyrl-CS"/>
        </w:rPr>
        <w:t>4</w:t>
      </w:r>
      <w:r w:rsidRPr="00B93361">
        <w:rPr>
          <w:lang w:val="sr-Cyrl-CS"/>
        </w:rPr>
        <w:t>/201</w:t>
      </w:r>
      <w:r w:rsidR="006770CB">
        <w:rPr>
          <w:lang w:val="sr-Cyrl-CS"/>
        </w:rPr>
        <w:t>5</w:t>
      </w:r>
      <w:r w:rsidRPr="00B93361">
        <w:rPr>
          <w:lang w:val="sr-Cyrl-CS"/>
        </w:rPr>
        <w:t>. години доставило је 16 школа. Према доста</w:t>
      </w:r>
      <w:r w:rsidR="00B27B3A">
        <w:rPr>
          <w:lang w:val="sr-Cyrl-CS"/>
        </w:rPr>
        <w:t xml:space="preserve">вљеним подацима, у </w:t>
      </w:r>
      <w:r w:rsidR="00664673">
        <w:rPr>
          <w:lang w:val="sr-Cyrl-CS"/>
        </w:rPr>
        <w:t>први разред је</w:t>
      </w:r>
      <w:r w:rsidRPr="00B93361">
        <w:rPr>
          <w:lang w:val="sr-Cyrl-CS"/>
        </w:rPr>
        <w:t xml:space="preserve"> уписано</w:t>
      </w:r>
      <w:r w:rsidR="00664673">
        <w:rPr>
          <w:lang w:val="sr-Cyrl-CS"/>
        </w:rPr>
        <w:t xml:space="preserve"> 175 редовних ученика, што је 1,05</w:t>
      </w:r>
      <w:r w:rsidRPr="00B93361">
        <w:rPr>
          <w:lang w:val="sr-Cyrl-CS"/>
        </w:rPr>
        <w:t xml:space="preserve">% од укупног броја ученика првог разреда средњег образовања. </w:t>
      </w:r>
      <w:r w:rsidRPr="0066566E">
        <w:rPr>
          <w:lang w:val="sr-Cyrl-CS"/>
        </w:rPr>
        <w:t>Највише има ученика уписаних у подручју рада – здравство и социјална заштита (</w:t>
      </w:r>
      <w:r w:rsidR="00DC6FC2" w:rsidRPr="0066566E">
        <w:rPr>
          <w:lang w:val="sr-Cyrl-CS"/>
        </w:rPr>
        <w:t>44) и гимназијско образовање (82</w:t>
      </w:r>
      <w:r w:rsidRPr="0066566E">
        <w:rPr>
          <w:lang w:val="sr-Cyrl-CS"/>
        </w:rPr>
        <w:t>), а затим економија, право и администрација (2</w:t>
      </w:r>
      <w:r w:rsidR="00DC6FC2" w:rsidRPr="0066566E">
        <w:rPr>
          <w:lang w:val="sr-Cyrl-CS"/>
        </w:rPr>
        <w:t>4</w:t>
      </w:r>
      <w:r w:rsidRPr="0066566E">
        <w:rPr>
          <w:lang w:val="sr-Cyrl-CS"/>
        </w:rPr>
        <w:t>). У</w:t>
      </w:r>
      <w:r w:rsidRPr="0066566E">
        <w:t xml:space="preserve"> први разре</w:t>
      </w:r>
      <w:r w:rsidRPr="00B93361">
        <w:t>д приватних средњих школа уписују се и ванредни ученици старији од 17 година, као и ученици који су започели па прекинули образовање у другим средњим школама.</w:t>
      </w:r>
    </w:p>
    <w:p w:rsidR="00A968D5" w:rsidRPr="00B93361" w:rsidRDefault="00A968D5" w:rsidP="00B93361">
      <w:pPr>
        <w:ind w:firstLine="912"/>
        <w:jc w:val="both"/>
      </w:pPr>
    </w:p>
    <w:p w:rsidR="00A968D5" w:rsidRPr="00B93361" w:rsidRDefault="00A968D5" w:rsidP="00B93361">
      <w:pPr>
        <w:ind w:firstLine="912"/>
        <w:jc w:val="both"/>
      </w:pPr>
      <w:r w:rsidRPr="00B93361">
        <w:rPr>
          <w:lang w:val="sr-Cyrl-CS"/>
        </w:rPr>
        <w:t>Упис редовних ученика у први разред у приватним средњим школама у школској 201</w:t>
      </w:r>
      <w:r w:rsidR="00DC6FC2">
        <w:rPr>
          <w:lang w:val="sr-Cyrl-CS"/>
        </w:rPr>
        <w:t>4</w:t>
      </w:r>
      <w:r w:rsidRPr="00B93361">
        <w:rPr>
          <w:lang w:val="sr-Cyrl-CS"/>
        </w:rPr>
        <w:t>/201</w:t>
      </w:r>
      <w:r w:rsidR="00DC6FC2">
        <w:rPr>
          <w:lang w:val="sr-Cyrl-CS"/>
        </w:rPr>
        <w:t>5</w:t>
      </w:r>
      <w:r w:rsidRPr="00B93361">
        <w:rPr>
          <w:lang w:val="sr-Cyrl-CS"/>
        </w:rPr>
        <w:t>. години,</w:t>
      </w:r>
      <w:r w:rsidRPr="00B93361">
        <w:t xml:space="preserve"> реализован је у </w:t>
      </w:r>
      <w:r w:rsidR="00B93361">
        <w:rPr>
          <w:lang w:val="sr-Cyrl-RS"/>
        </w:rPr>
        <w:t xml:space="preserve">следећим </w:t>
      </w:r>
      <w:r w:rsidRPr="00B93361">
        <w:t>подручјима рада: гимназија; економија, право и администрација; здравство и социјална заштита; трговина, угоститељство и туризам; саобраћај.</w:t>
      </w:r>
    </w:p>
    <w:p w:rsidR="00A968D5" w:rsidRPr="00B93361" w:rsidRDefault="00A968D5" w:rsidP="00B93361">
      <w:pPr>
        <w:ind w:firstLine="912"/>
        <w:jc w:val="both"/>
      </w:pPr>
    </w:p>
    <w:p w:rsidR="00A968D5" w:rsidRPr="00933BBE" w:rsidRDefault="00A968D5" w:rsidP="00A968D5">
      <w:pPr>
        <w:ind w:firstLine="912"/>
        <w:jc w:val="both"/>
        <w:rPr>
          <w:lang w:val="sr-Cyrl-CS"/>
        </w:rPr>
      </w:pPr>
      <w:r w:rsidRPr="00933BBE">
        <w:rPr>
          <w:lang w:val="sr-Cyrl-CS"/>
        </w:rPr>
        <w:t xml:space="preserve">Наведена квота није обухваћена Одлуком о броју </w:t>
      </w:r>
      <w:r>
        <w:rPr>
          <w:lang w:val="sr-Cyrl-CS"/>
        </w:rPr>
        <w:t>места</w:t>
      </w:r>
      <w:r w:rsidRPr="00933BBE">
        <w:rPr>
          <w:lang w:val="sr-Cyrl-CS"/>
        </w:rPr>
        <w:t xml:space="preserve"> за упис </w:t>
      </w:r>
      <w:r>
        <w:rPr>
          <w:lang w:val="sr-Cyrl-CS"/>
        </w:rPr>
        <w:t xml:space="preserve">ученика </w:t>
      </w:r>
      <w:r w:rsidRPr="00933BBE">
        <w:rPr>
          <w:lang w:val="sr-Cyrl-CS"/>
        </w:rPr>
        <w:t>у први разред средњих школа</w:t>
      </w:r>
      <w:r>
        <w:rPr>
          <w:lang w:val="sr-Cyrl-CS"/>
        </w:rPr>
        <w:t>,</w:t>
      </w:r>
      <w:r w:rsidRPr="00933BBE">
        <w:rPr>
          <w:lang w:val="sr-Cyrl-CS"/>
        </w:rPr>
        <w:t xml:space="preserve"> чији је оснивач АП Војводина у школској 201</w:t>
      </w:r>
      <w:r w:rsidR="00DC6FC2">
        <w:rPr>
          <w:lang w:val="sr-Cyrl-CS"/>
        </w:rPr>
        <w:t>4</w:t>
      </w:r>
      <w:r w:rsidRPr="00933BBE">
        <w:rPr>
          <w:lang w:val="sr-Cyrl-CS"/>
        </w:rPr>
        <w:t>/201</w:t>
      </w:r>
      <w:r w:rsidR="00DC6FC2">
        <w:rPr>
          <w:lang w:val="sr-Cyrl-CS"/>
        </w:rPr>
        <w:t>5</w:t>
      </w:r>
      <w:r w:rsidRPr="00933BBE">
        <w:rPr>
          <w:lang w:val="sr-Cyrl-CS"/>
        </w:rPr>
        <w:t xml:space="preserve">. години, </w:t>
      </w:r>
      <w:r>
        <w:rPr>
          <w:lang w:val="sr-Cyrl-CS"/>
        </w:rPr>
        <w:t>будући да</w:t>
      </w:r>
      <w:r w:rsidRPr="00933BBE">
        <w:rPr>
          <w:lang w:val="sr-Cyrl-CS"/>
        </w:rPr>
        <w:t xml:space="preserve"> </w:t>
      </w:r>
      <w:r w:rsidR="00DC6FC2">
        <w:rPr>
          <w:lang w:val="sr-Cyrl-CS"/>
        </w:rPr>
        <w:t>Покрајинска влада</w:t>
      </w:r>
      <w:r w:rsidRPr="00933BBE">
        <w:rPr>
          <w:lang w:val="sr-Cyrl-CS"/>
        </w:rPr>
        <w:t xml:space="preserve"> утврђује само број </w:t>
      </w:r>
      <w:r>
        <w:rPr>
          <w:lang w:val="sr-Cyrl-CS"/>
        </w:rPr>
        <w:t xml:space="preserve">места за упис </w:t>
      </w:r>
      <w:r w:rsidRPr="00933BBE">
        <w:rPr>
          <w:lang w:val="sr-Cyrl-CS"/>
        </w:rPr>
        <w:t>ученика у први разред средњих школа чији је оснивач АП Војводина. Међутим, информација</w:t>
      </w:r>
      <w:r>
        <w:rPr>
          <w:lang w:val="sr-Cyrl-CS"/>
        </w:rPr>
        <w:t xml:space="preserve"> о могућностима </w:t>
      </w:r>
      <w:r w:rsidRPr="00933BBE">
        <w:rPr>
          <w:lang w:val="sr-Cyrl-CS"/>
        </w:rPr>
        <w:t xml:space="preserve">и реализацији уписа ученика у приватне средње школе на територији АП Војводине може се сматрати значајном за </w:t>
      </w:r>
      <w:r w:rsidR="00DC6FC2">
        <w:rPr>
          <w:lang w:val="sr-Cyrl-CS"/>
        </w:rPr>
        <w:t>Покрајинску владу</w:t>
      </w:r>
      <w:r w:rsidRPr="00933BBE">
        <w:rPr>
          <w:lang w:val="sr-Cyrl-CS"/>
        </w:rPr>
        <w:t>.</w:t>
      </w:r>
    </w:p>
    <w:p w:rsidR="00A968D5" w:rsidRPr="00933BBE" w:rsidRDefault="00A968D5" w:rsidP="00A968D5">
      <w:pPr>
        <w:jc w:val="both"/>
        <w:rPr>
          <w:lang w:val="sr-Cyrl-CS"/>
        </w:rPr>
      </w:pPr>
    </w:p>
    <w:p w:rsidR="00A968D5" w:rsidRDefault="00A968D5" w:rsidP="00A968D5">
      <w:pPr>
        <w:jc w:val="both"/>
        <w:rPr>
          <w:lang w:val="sr-Cyrl-CS"/>
        </w:rPr>
      </w:pPr>
    </w:p>
    <w:p w:rsidR="00C330E4" w:rsidRDefault="00C330E4" w:rsidP="00A968D5">
      <w:pPr>
        <w:jc w:val="both"/>
        <w:rPr>
          <w:lang w:val="sr-Cyrl-CS"/>
        </w:rPr>
      </w:pPr>
    </w:p>
    <w:p w:rsidR="00C330E4" w:rsidRPr="00B22E84" w:rsidRDefault="00C330E4" w:rsidP="00A968D5">
      <w:pPr>
        <w:jc w:val="both"/>
        <w:rPr>
          <w:lang w:val="sr-Cyrl-CS"/>
        </w:rPr>
      </w:pPr>
    </w:p>
    <w:p w:rsidR="00A968D5" w:rsidRDefault="00A968D5" w:rsidP="00A968D5">
      <w:pPr>
        <w:jc w:val="both"/>
        <w:rPr>
          <w:lang w:val="sr-Cyrl-RS"/>
        </w:rPr>
      </w:pPr>
    </w:p>
    <w:p w:rsidR="00A968D5" w:rsidRPr="00BD19E4" w:rsidRDefault="00A968D5" w:rsidP="00A968D5">
      <w:pPr>
        <w:jc w:val="both"/>
        <w:rPr>
          <w:lang w:val="sr-Cyrl-RS"/>
        </w:rPr>
      </w:pPr>
    </w:p>
    <w:p w:rsidR="00A968D5" w:rsidRDefault="00A968D5" w:rsidP="00A968D5">
      <w:pPr>
        <w:ind w:firstLine="709"/>
        <w:jc w:val="both"/>
        <w:rPr>
          <w:bCs/>
          <w:lang w:val="sr-Cyrl-CS"/>
        </w:rPr>
      </w:pPr>
    </w:p>
    <w:p w:rsidR="00A968D5" w:rsidRPr="00933BBE" w:rsidRDefault="00A968D5" w:rsidP="00A968D5">
      <w:pPr>
        <w:jc w:val="center"/>
        <w:rPr>
          <w:b/>
          <w:bCs/>
          <w:lang w:val="sr-Cyrl-CS"/>
        </w:rPr>
      </w:pPr>
      <w:r w:rsidRPr="00933BBE">
        <w:rPr>
          <w:b/>
          <w:bCs/>
          <w:lang w:val="sr-Cyrl-CS"/>
        </w:rPr>
        <w:lastRenderedPageBreak/>
        <w:t>* * *</w:t>
      </w:r>
    </w:p>
    <w:p w:rsidR="00A968D5" w:rsidRDefault="00A968D5" w:rsidP="00A968D5">
      <w:pPr>
        <w:jc w:val="center"/>
        <w:rPr>
          <w:b/>
          <w:bCs/>
          <w:lang w:val="sr-Cyrl-CS"/>
        </w:rPr>
      </w:pPr>
    </w:p>
    <w:p w:rsidR="00C330E4" w:rsidRDefault="00C330E4" w:rsidP="00A968D5">
      <w:pPr>
        <w:jc w:val="center"/>
        <w:rPr>
          <w:b/>
          <w:bCs/>
          <w:lang w:val="sr-Cyrl-CS"/>
        </w:rPr>
      </w:pPr>
    </w:p>
    <w:p w:rsidR="00C330E4" w:rsidRDefault="00C330E4" w:rsidP="00A968D5">
      <w:pPr>
        <w:jc w:val="center"/>
        <w:rPr>
          <w:b/>
          <w:bCs/>
          <w:lang w:val="sr-Cyrl-CS"/>
        </w:rPr>
      </w:pPr>
    </w:p>
    <w:p w:rsidR="00A968D5" w:rsidRPr="00933BBE" w:rsidRDefault="00A968D5" w:rsidP="00A968D5">
      <w:pPr>
        <w:jc w:val="center"/>
        <w:rPr>
          <w:b/>
          <w:bCs/>
          <w:lang w:val="sr-Cyrl-CS"/>
        </w:rPr>
      </w:pPr>
    </w:p>
    <w:p w:rsidR="00A968D5" w:rsidRPr="00A7406A" w:rsidRDefault="00A968D5" w:rsidP="00A968D5">
      <w:pPr>
        <w:jc w:val="center"/>
        <w:rPr>
          <w:lang w:val="sr-Cyrl-CS"/>
        </w:rPr>
      </w:pPr>
      <w:r w:rsidRPr="00A7406A">
        <w:rPr>
          <w:b/>
          <w:bCs/>
          <w:lang w:val="sr-Cyrl-CS"/>
        </w:rPr>
        <w:t>На основу изложеног, може се констатовати</w:t>
      </w:r>
      <w:r w:rsidRPr="00A7406A">
        <w:rPr>
          <w:lang w:val="sr-Cyrl-CS"/>
        </w:rPr>
        <w:t>:</w:t>
      </w:r>
    </w:p>
    <w:p w:rsidR="00A968D5" w:rsidRPr="00933BBE" w:rsidRDefault="00A968D5" w:rsidP="00A968D5">
      <w:pPr>
        <w:jc w:val="center"/>
        <w:rPr>
          <w:lang w:val="sr-Cyrl-CS"/>
        </w:rPr>
      </w:pPr>
    </w:p>
    <w:p w:rsidR="00A968D5" w:rsidRPr="00933BBE" w:rsidRDefault="00A968D5" w:rsidP="00A968D5">
      <w:pPr>
        <w:jc w:val="center"/>
        <w:rPr>
          <w:lang w:val="sr-Cyrl-CS"/>
        </w:rPr>
      </w:pPr>
    </w:p>
    <w:p w:rsidR="00A968D5" w:rsidRPr="00933BBE" w:rsidRDefault="00A968D5" w:rsidP="00A968D5">
      <w:pPr>
        <w:numPr>
          <w:ilvl w:val="0"/>
          <w:numId w:val="1"/>
        </w:numPr>
        <w:jc w:val="both"/>
        <w:rPr>
          <w:lang w:val="sr-Cyrl-CS"/>
        </w:rPr>
      </w:pPr>
      <w:r w:rsidRPr="00933BBE">
        <w:rPr>
          <w:lang w:val="sr-Cyrl-CS"/>
        </w:rPr>
        <w:t>Планирани</w:t>
      </w:r>
      <w:r w:rsidRPr="00933BBE">
        <w:rPr>
          <w:b/>
          <w:bCs/>
          <w:lang w:val="sr-Cyrl-CS"/>
        </w:rPr>
        <w:t xml:space="preserve"> број места</w:t>
      </w:r>
      <w:r w:rsidRPr="00933BBE">
        <w:rPr>
          <w:lang w:val="sr-Cyrl-CS"/>
        </w:rPr>
        <w:t xml:space="preserve"> за упис ученика у први разред средњих школа у школској 20</w:t>
      </w:r>
      <w:r>
        <w:rPr>
          <w:lang w:val="sr-Cyrl-CS"/>
        </w:rPr>
        <w:t>1</w:t>
      </w:r>
      <w:r w:rsidR="00FA64EA">
        <w:rPr>
          <w:lang w:val="sr-Cyrl-CS"/>
        </w:rPr>
        <w:t>4</w:t>
      </w:r>
      <w:r w:rsidRPr="00933BBE">
        <w:rPr>
          <w:lang w:val="sr-Cyrl-CS"/>
        </w:rPr>
        <w:t>/201</w:t>
      </w:r>
      <w:r w:rsidR="00FA64EA">
        <w:rPr>
          <w:lang w:val="sr-Cyrl-CS"/>
        </w:rPr>
        <w:t>5</w:t>
      </w:r>
      <w:r w:rsidRPr="00933BBE">
        <w:rPr>
          <w:lang w:val="sr-Cyrl-CS"/>
        </w:rPr>
        <w:t xml:space="preserve">. години у АП Војводини </w:t>
      </w:r>
      <w:r w:rsidRPr="00933BBE">
        <w:rPr>
          <w:b/>
          <w:bCs/>
          <w:lang w:val="sr-Cyrl-CS"/>
        </w:rPr>
        <w:t>већи</w:t>
      </w:r>
      <w:r w:rsidRPr="00933BBE">
        <w:rPr>
          <w:lang w:val="sr-Cyrl-CS"/>
        </w:rPr>
        <w:t xml:space="preserve"> је од броја ученика завршног разреда основних школа </w:t>
      </w:r>
      <w:r w:rsidRPr="00933BBE">
        <w:rPr>
          <w:b/>
          <w:bCs/>
          <w:lang w:val="sr-Cyrl-CS"/>
        </w:rPr>
        <w:t>за 1</w:t>
      </w:r>
      <w:r w:rsidR="00FA64EA">
        <w:rPr>
          <w:b/>
          <w:bCs/>
          <w:lang w:val="sr-Cyrl-CS"/>
        </w:rPr>
        <w:t>8</w:t>
      </w:r>
      <w:r w:rsidRPr="00933BBE">
        <w:rPr>
          <w:b/>
          <w:bCs/>
          <w:lang w:val="sr-Cyrl-CS"/>
        </w:rPr>
        <w:t>,</w:t>
      </w:r>
      <w:r w:rsidR="00FA64EA">
        <w:rPr>
          <w:b/>
          <w:bCs/>
          <w:lang w:val="sr-Cyrl-CS"/>
        </w:rPr>
        <w:t>76</w:t>
      </w:r>
      <w:r w:rsidRPr="00933BBE">
        <w:rPr>
          <w:b/>
          <w:bCs/>
          <w:lang w:val="sr-Cyrl-CS"/>
        </w:rPr>
        <w:t>%</w:t>
      </w:r>
      <w:r>
        <w:rPr>
          <w:lang w:val="sr-Cyrl-CS"/>
        </w:rPr>
        <w:t xml:space="preserve"> (у осмом разреду било је укупно 17</w:t>
      </w:r>
      <w:r w:rsidRPr="00933BBE">
        <w:rPr>
          <w:lang w:val="sr-Cyrl-CS"/>
        </w:rPr>
        <w:t>.</w:t>
      </w:r>
      <w:r w:rsidR="00FA64EA">
        <w:rPr>
          <w:lang w:val="sr-Cyrl-CS"/>
        </w:rPr>
        <w:t>168</w:t>
      </w:r>
      <w:r w:rsidRPr="00933BBE">
        <w:rPr>
          <w:lang w:val="sr-Cyrl-CS"/>
        </w:rPr>
        <w:t xml:space="preserve"> ученика, а планом уписа предвиђено је 2</w:t>
      </w:r>
      <w:r>
        <w:rPr>
          <w:lang w:val="sr-Cyrl-CS"/>
        </w:rPr>
        <w:t>0</w:t>
      </w:r>
      <w:r w:rsidRPr="00933BBE">
        <w:rPr>
          <w:lang w:val="sr-Cyrl-CS"/>
        </w:rPr>
        <w:t>.</w:t>
      </w:r>
      <w:r w:rsidR="00FA64EA">
        <w:rPr>
          <w:lang w:val="sr-Cyrl-CS"/>
        </w:rPr>
        <w:t>389</w:t>
      </w:r>
      <w:r w:rsidRPr="00933BBE">
        <w:rPr>
          <w:lang w:val="sr-Cyrl-CS"/>
        </w:rPr>
        <w:t xml:space="preserve"> мест</w:t>
      </w:r>
      <w:r>
        <w:rPr>
          <w:lang w:val="sr-Cyrl-CS"/>
        </w:rPr>
        <w:t>а</w:t>
      </w:r>
      <w:r w:rsidRPr="00933BBE">
        <w:rPr>
          <w:lang w:val="sr-Cyrl-CS"/>
        </w:rPr>
        <w:t xml:space="preserve">). У односу на претходну школску годину, </w:t>
      </w:r>
      <w:r>
        <w:rPr>
          <w:lang w:val="sr-Cyrl-CS"/>
        </w:rPr>
        <w:t xml:space="preserve">број ученика осмог разреда мањи је за </w:t>
      </w:r>
      <w:r w:rsidR="00FA64EA">
        <w:rPr>
          <w:lang w:val="sr-Cyrl-CS"/>
        </w:rPr>
        <w:t>710</w:t>
      </w:r>
      <w:r>
        <w:rPr>
          <w:lang w:val="sr-Cyrl-CS"/>
        </w:rPr>
        <w:t xml:space="preserve">, а </w:t>
      </w:r>
      <w:r w:rsidRPr="00933BBE">
        <w:rPr>
          <w:lang w:val="sr-Cyrl-CS"/>
        </w:rPr>
        <w:t xml:space="preserve">планирано је </w:t>
      </w:r>
      <w:r w:rsidR="00FA64EA">
        <w:rPr>
          <w:lang w:val="sr-Cyrl-CS"/>
        </w:rPr>
        <w:t>704</w:t>
      </w:r>
      <w:r w:rsidRPr="00933BBE">
        <w:rPr>
          <w:lang w:val="sr-Cyrl-CS"/>
        </w:rPr>
        <w:t xml:space="preserve"> мест</w:t>
      </w:r>
      <w:r>
        <w:rPr>
          <w:lang w:val="sr-Cyrl-CS"/>
        </w:rPr>
        <w:t>а</w:t>
      </w:r>
      <w:r w:rsidRPr="00933BBE">
        <w:rPr>
          <w:lang w:val="sr-Cyrl-CS"/>
        </w:rPr>
        <w:t xml:space="preserve"> </w:t>
      </w:r>
      <w:r>
        <w:rPr>
          <w:lang w:val="sr-Cyrl-CS"/>
        </w:rPr>
        <w:t>мање</w:t>
      </w:r>
      <w:r w:rsidRPr="00933BBE">
        <w:rPr>
          <w:lang w:val="sr-Cyrl-CS"/>
        </w:rPr>
        <w:t xml:space="preserve"> за упис</w:t>
      </w:r>
      <w:r>
        <w:rPr>
          <w:lang w:val="sr-Cyrl-CS"/>
        </w:rPr>
        <w:t>.</w:t>
      </w:r>
    </w:p>
    <w:p w:rsidR="00A968D5" w:rsidRPr="00933BBE" w:rsidRDefault="00A968D5" w:rsidP="00A968D5">
      <w:pPr>
        <w:ind w:left="360"/>
        <w:jc w:val="both"/>
        <w:rPr>
          <w:lang w:val="sr-Cyrl-CS"/>
        </w:rPr>
      </w:pPr>
    </w:p>
    <w:p w:rsidR="00A968D5" w:rsidRPr="00933BBE" w:rsidRDefault="00A968D5" w:rsidP="00A968D5">
      <w:pPr>
        <w:numPr>
          <w:ilvl w:val="0"/>
          <w:numId w:val="1"/>
        </w:numPr>
        <w:jc w:val="both"/>
        <w:rPr>
          <w:lang w:val="sr-Cyrl-CS"/>
        </w:rPr>
      </w:pPr>
      <w:r w:rsidRPr="00F00068">
        <w:rPr>
          <w:lang w:val="sr-Cyrl-CS"/>
        </w:rPr>
        <w:t>Планирани упис ученика</w:t>
      </w:r>
      <w:r w:rsidRPr="00933BBE">
        <w:rPr>
          <w:lang w:val="sr-Cyrl-CS"/>
        </w:rPr>
        <w:t xml:space="preserve"> у први разред средње школе реализован је са </w:t>
      </w:r>
      <w:r>
        <w:rPr>
          <w:b/>
          <w:lang w:val="sr-Cyrl-CS"/>
        </w:rPr>
        <w:t>8</w:t>
      </w:r>
      <w:r w:rsidR="00FA64EA">
        <w:rPr>
          <w:b/>
          <w:lang w:val="sr-Cyrl-CS"/>
        </w:rPr>
        <w:t>2</w:t>
      </w:r>
      <w:r w:rsidRPr="00933BBE">
        <w:rPr>
          <w:b/>
          <w:lang w:val="sr-Cyrl-CS"/>
        </w:rPr>
        <w:t>,</w:t>
      </w:r>
      <w:r w:rsidR="00FA64EA">
        <w:rPr>
          <w:b/>
          <w:lang w:val="sr-Cyrl-CS"/>
        </w:rPr>
        <w:t>07</w:t>
      </w:r>
      <w:r w:rsidRPr="00933BBE">
        <w:rPr>
          <w:b/>
          <w:bCs/>
          <w:lang w:val="sr-Cyrl-CS"/>
        </w:rPr>
        <w:t xml:space="preserve">% </w:t>
      </w:r>
      <w:r>
        <w:rPr>
          <w:b/>
          <w:bCs/>
          <w:lang w:val="sr-Cyrl-CS"/>
        </w:rPr>
        <w:t>– на 2</w:t>
      </w:r>
      <w:r w:rsidR="00FA64EA">
        <w:rPr>
          <w:b/>
          <w:bCs/>
          <w:lang w:val="sr-Cyrl-CS"/>
        </w:rPr>
        <w:t>0</w:t>
      </w:r>
      <w:r w:rsidRPr="00933BBE">
        <w:rPr>
          <w:b/>
          <w:bCs/>
          <w:lang w:val="sr-Cyrl-CS"/>
        </w:rPr>
        <w:t>.</w:t>
      </w:r>
      <w:r w:rsidR="00FA64EA">
        <w:rPr>
          <w:b/>
          <w:bCs/>
          <w:lang w:val="sr-Cyrl-CS"/>
        </w:rPr>
        <w:t>389</w:t>
      </w:r>
      <w:r w:rsidRPr="00933BBE">
        <w:rPr>
          <w:b/>
          <w:bCs/>
          <w:lang w:val="sr-Cyrl-CS"/>
        </w:rPr>
        <w:t xml:space="preserve"> мест</w:t>
      </w:r>
      <w:r>
        <w:rPr>
          <w:b/>
          <w:bCs/>
          <w:lang w:val="sr-Cyrl-CS"/>
        </w:rPr>
        <w:t>а уписано је 1</w:t>
      </w:r>
      <w:r w:rsidR="00FA64EA">
        <w:rPr>
          <w:b/>
          <w:bCs/>
          <w:lang w:val="sr-Cyrl-CS"/>
        </w:rPr>
        <w:t>6</w:t>
      </w:r>
      <w:r w:rsidRPr="00933BBE">
        <w:rPr>
          <w:b/>
          <w:bCs/>
          <w:lang w:val="sr-Cyrl-CS"/>
        </w:rPr>
        <w:t>.</w:t>
      </w:r>
      <w:r w:rsidR="00FA64EA">
        <w:rPr>
          <w:b/>
          <w:bCs/>
          <w:lang w:val="sr-Cyrl-CS"/>
        </w:rPr>
        <w:t>733</w:t>
      </w:r>
      <w:r w:rsidRPr="00933BBE">
        <w:rPr>
          <w:b/>
          <w:bCs/>
          <w:lang w:val="sr-Cyrl-CS"/>
        </w:rPr>
        <w:t xml:space="preserve"> ученик</w:t>
      </w:r>
      <w:r>
        <w:rPr>
          <w:b/>
          <w:bCs/>
          <w:lang w:val="sr-Cyrl-CS"/>
        </w:rPr>
        <w:t>а</w:t>
      </w:r>
      <w:r w:rsidRPr="00933BBE">
        <w:rPr>
          <w:b/>
          <w:bCs/>
          <w:lang w:val="sr-Cyrl-CS"/>
        </w:rPr>
        <w:t>,</w:t>
      </w:r>
      <w:r w:rsidRPr="00933BBE">
        <w:rPr>
          <w:lang w:val="sr-Cyrl-CS"/>
        </w:rPr>
        <w:t xml:space="preserve"> с тим што је </w:t>
      </w:r>
      <w:r w:rsidRPr="002B7DE1">
        <w:rPr>
          <w:b/>
          <w:lang w:val="sr-Cyrl-CS"/>
        </w:rPr>
        <w:t xml:space="preserve">у </w:t>
      </w:r>
      <w:r w:rsidRPr="00933BBE">
        <w:rPr>
          <w:b/>
          <w:bCs/>
          <w:lang w:val="sr-Cyrl-CS"/>
        </w:rPr>
        <w:t>трогодишњим школама</w:t>
      </w:r>
      <w:r w:rsidRPr="00933BBE">
        <w:rPr>
          <w:lang w:val="sr-Cyrl-CS"/>
        </w:rPr>
        <w:t xml:space="preserve"> план уписа реализован са </w:t>
      </w:r>
      <w:r>
        <w:rPr>
          <w:b/>
          <w:lang w:val="sr-Cyrl-CS"/>
        </w:rPr>
        <w:t>7</w:t>
      </w:r>
      <w:r w:rsidR="00FA64EA">
        <w:rPr>
          <w:b/>
          <w:lang w:val="sr-Cyrl-CS"/>
        </w:rPr>
        <w:t>0</w:t>
      </w:r>
      <w:r w:rsidRPr="00933BBE">
        <w:rPr>
          <w:b/>
          <w:bCs/>
          <w:lang w:val="sr-Cyrl-CS"/>
        </w:rPr>
        <w:t>,</w:t>
      </w:r>
      <w:r w:rsidR="00FA64EA">
        <w:rPr>
          <w:b/>
          <w:bCs/>
          <w:lang w:val="sr-Cyrl-CS"/>
        </w:rPr>
        <w:t>05</w:t>
      </w:r>
      <w:r w:rsidRPr="00933BBE">
        <w:rPr>
          <w:b/>
          <w:bCs/>
          <w:lang w:val="sr-Cyrl-CS"/>
        </w:rPr>
        <w:t>%,</w:t>
      </w:r>
      <w:r w:rsidRPr="00933BBE">
        <w:rPr>
          <w:lang w:val="sr-Cyrl-CS"/>
        </w:rPr>
        <w:t xml:space="preserve"> а </w:t>
      </w:r>
      <w:r w:rsidRPr="002B7DE1">
        <w:rPr>
          <w:b/>
          <w:lang w:val="sr-Cyrl-CS"/>
        </w:rPr>
        <w:t xml:space="preserve">у </w:t>
      </w:r>
      <w:r w:rsidRPr="00933BBE">
        <w:rPr>
          <w:b/>
          <w:bCs/>
          <w:lang w:val="sr-Cyrl-CS"/>
        </w:rPr>
        <w:t>четворогодишњим</w:t>
      </w:r>
      <w:r w:rsidRPr="00933BBE">
        <w:rPr>
          <w:lang w:val="sr-Cyrl-CS"/>
        </w:rPr>
        <w:t xml:space="preserve"> са </w:t>
      </w:r>
      <w:r>
        <w:rPr>
          <w:b/>
          <w:bCs/>
          <w:lang w:val="sr-Cyrl-CS"/>
        </w:rPr>
        <w:t>8</w:t>
      </w:r>
      <w:r w:rsidR="00FA64EA">
        <w:rPr>
          <w:b/>
          <w:bCs/>
          <w:lang w:val="sr-Cyrl-CS"/>
        </w:rPr>
        <w:t>4</w:t>
      </w:r>
      <w:r w:rsidRPr="00933BBE">
        <w:rPr>
          <w:b/>
          <w:bCs/>
          <w:lang w:val="sr-Cyrl-CS"/>
        </w:rPr>
        <w:t>,</w:t>
      </w:r>
      <w:r w:rsidR="00FA64EA">
        <w:rPr>
          <w:b/>
          <w:bCs/>
          <w:lang w:val="sr-Cyrl-CS"/>
        </w:rPr>
        <w:t>75</w:t>
      </w:r>
      <w:r w:rsidRPr="00933BBE">
        <w:rPr>
          <w:b/>
          <w:bCs/>
          <w:lang w:val="sr-Cyrl-CS"/>
        </w:rPr>
        <w:t>%.</w:t>
      </w:r>
      <w:r w:rsidRPr="00933BBE">
        <w:rPr>
          <w:lang w:val="sr-Cyrl-CS"/>
        </w:rPr>
        <w:t xml:space="preserve"> У односу на претходну школску годину</w:t>
      </w:r>
      <w:r>
        <w:rPr>
          <w:lang w:val="sr-Cyrl-CS"/>
        </w:rPr>
        <w:t>,</w:t>
      </w:r>
      <w:r w:rsidRPr="00933BBE">
        <w:rPr>
          <w:lang w:val="sr-Cyrl-CS"/>
        </w:rPr>
        <w:t xml:space="preserve"> </w:t>
      </w:r>
      <w:r w:rsidRPr="002B7DE1">
        <w:rPr>
          <w:b/>
          <w:lang w:val="sr-Cyrl-CS"/>
        </w:rPr>
        <w:t>реализација плана уписа</w:t>
      </w:r>
      <w:r w:rsidRPr="00933BBE">
        <w:rPr>
          <w:lang w:val="sr-Cyrl-CS"/>
        </w:rPr>
        <w:t xml:space="preserve"> ученика </w:t>
      </w:r>
      <w:r>
        <w:rPr>
          <w:b/>
          <w:bCs/>
          <w:lang w:val="sr-Cyrl-CS"/>
        </w:rPr>
        <w:t xml:space="preserve">мања </w:t>
      </w:r>
      <w:r w:rsidRPr="00933BBE">
        <w:rPr>
          <w:lang w:val="sr-Cyrl-CS"/>
        </w:rPr>
        <w:t>је</w:t>
      </w:r>
      <w:r w:rsidR="00FA64EA">
        <w:rPr>
          <w:b/>
          <w:bCs/>
          <w:lang w:val="sr-Cyrl-CS"/>
        </w:rPr>
        <w:t xml:space="preserve"> за 1</w:t>
      </w:r>
      <w:r>
        <w:rPr>
          <w:b/>
          <w:bCs/>
          <w:lang w:val="sr-Cyrl-CS"/>
        </w:rPr>
        <w:t>,</w:t>
      </w:r>
      <w:r w:rsidR="00FA64EA">
        <w:rPr>
          <w:b/>
          <w:bCs/>
          <w:lang w:val="sr-Cyrl-CS"/>
        </w:rPr>
        <w:t>39</w:t>
      </w:r>
      <w:r>
        <w:rPr>
          <w:b/>
          <w:bCs/>
          <w:lang w:val="sr-Cyrl-CS"/>
        </w:rPr>
        <w:t>%</w:t>
      </w:r>
      <w:r w:rsidRPr="00933BBE">
        <w:rPr>
          <w:b/>
          <w:bCs/>
          <w:lang w:val="sr-Cyrl-CS"/>
        </w:rPr>
        <w:t>.</w:t>
      </w:r>
      <w:r w:rsidRPr="00933BBE">
        <w:rPr>
          <w:lang w:val="sr-Cyrl-CS"/>
        </w:rPr>
        <w:t xml:space="preserve">  </w:t>
      </w:r>
    </w:p>
    <w:p w:rsidR="00A968D5" w:rsidRPr="00933BBE" w:rsidRDefault="00A968D5" w:rsidP="00A968D5">
      <w:pPr>
        <w:ind w:left="360"/>
        <w:jc w:val="both"/>
        <w:rPr>
          <w:lang w:val="sr-Cyrl-CS"/>
        </w:rPr>
      </w:pPr>
    </w:p>
    <w:p w:rsidR="00A968D5" w:rsidRPr="00B93361" w:rsidRDefault="00A968D5" w:rsidP="00A968D5">
      <w:pPr>
        <w:numPr>
          <w:ilvl w:val="0"/>
          <w:numId w:val="1"/>
        </w:numPr>
        <w:jc w:val="both"/>
        <w:rPr>
          <w:lang w:val="sr-Cyrl-CS"/>
        </w:rPr>
      </w:pPr>
      <w:r w:rsidRPr="00933BBE">
        <w:rPr>
          <w:lang w:val="sr-Cyrl-CS"/>
        </w:rPr>
        <w:t xml:space="preserve">У средњим школама у којима се настава изводи </w:t>
      </w:r>
      <w:r w:rsidRPr="00933BBE">
        <w:rPr>
          <w:b/>
          <w:bCs/>
          <w:lang w:val="sr-Cyrl-CS"/>
        </w:rPr>
        <w:t>на српском језику</w:t>
      </w:r>
      <w:r w:rsidRPr="00933BBE">
        <w:rPr>
          <w:lang w:val="sr-Cyrl-CS"/>
        </w:rPr>
        <w:t xml:space="preserve">, </w:t>
      </w:r>
      <w:r w:rsidRPr="002B7DE1">
        <w:rPr>
          <w:b/>
          <w:lang w:val="sr-Cyrl-CS"/>
        </w:rPr>
        <w:t>упис</w:t>
      </w:r>
      <w:r w:rsidRPr="00933BBE">
        <w:rPr>
          <w:lang w:val="sr-Cyrl-CS"/>
        </w:rPr>
        <w:t xml:space="preserve"> ученика </w:t>
      </w:r>
      <w:r w:rsidRPr="002B7DE1">
        <w:rPr>
          <w:b/>
          <w:lang w:val="sr-Cyrl-CS"/>
        </w:rPr>
        <w:t>реализован</w:t>
      </w:r>
      <w:r w:rsidRPr="00933BBE">
        <w:rPr>
          <w:lang w:val="sr-Cyrl-CS"/>
        </w:rPr>
        <w:t xml:space="preserve"> је са </w:t>
      </w:r>
      <w:r>
        <w:rPr>
          <w:b/>
          <w:bCs/>
          <w:lang w:val="sr-Cyrl-CS"/>
        </w:rPr>
        <w:t>8</w:t>
      </w:r>
      <w:r w:rsidR="00FA64EA">
        <w:rPr>
          <w:b/>
          <w:bCs/>
          <w:lang w:val="sr-Cyrl-CS"/>
        </w:rPr>
        <w:t>3</w:t>
      </w:r>
      <w:r w:rsidRPr="00933BBE">
        <w:rPr>
          <w:b/>
          <w:bCs/>
          <w:lang w:val="sr-Cyrl-CS"/>
        </w:rPr>
        <w:t>,</w:t>
      </w:r>
      <w:r>
        <w:rPr>
          <w:b/>
          <w:bCs/>
          <w:lang w:val="sr-Cyrl-CS"/>
        </w:rPr>
        <w:t>8</w:t>
      </w:r>
      <w:r w:rsidR="00FA64EA">
        <w:rPr>
          <w:b/>
          <w:bCs/>
          <w:lang w:val="sr-Cyrl-CS"/>
        </w:rPr>
        <w:t>1</w:t>
      </w:r>
      <w:r w:rsidRPr="00933BBE">
        <w:rPr>
          <w:b/>
          <w:bCs/>
          <w:lang w:val="sr-Cyrl-CS"/>
        </w:rPr>
        <w:t>%</w:t>
      </w:r>
      <w:r w:rsidRPr="00933BBE">
        <w:rPr>
          <w:lang w:val="sr-Cyrl-CS"/>
        </w:rPr>
        <w:t xml:space="preserve">, што је за </w:t>
      </w:r>
      <w:r w:rsidR="00512FB3">
        <w:rPr>
          <w:b/>
          <w:lang w:val="sr-Cyrl-CS"/>
        </w:rPr>
        <w:t>2</w:t>
      </w:r>
      <w:r w:rsidRPr="00933BBE">
        <w:rPr>
          <w:b/>
          <w:bCs/>
          <w:lang w:val="sr-Cyrl-CS"/>
        </w:rPr>
        <w:t>%</w:t>
      </w:r>
      <w:r w:rsidRPr="00933BBE">
        <w:rPr>
          <w:lang w:val="sr-Cyrl-CS"/>
        </w:rPr>
        <w:t xml:space="preserve"> </w:t>
      </w:r>
      <w:r>
        <w:rPr>
          <w:b/>
          <w:bCs/>
          <w:lang w:val="sr-Cyrl-CS"/>
        </w:rPr>
        <w:t>мање</w:t>
      </w:r>
      <w:r w:rsidRPr="00933BBE">
        <w:rPr>
          <w:lang w:val="sr-Cyrl-CS"/>
        </w:rPr>
        <w:t xml:space="preserve"> у односу на </w:t>
      </w:r>
      <w:r w:rsidRPr="00B93361">
        <w:rPr>
          <w:lang w:val="sr-Cyrl-CS"/>
        </w:rPr>
        <w:t>претходну школску годину, јер је на планираних 1</w:t>
      </w:r>
      <w:r w:rsidR="00FA64EA">
        <w:rPr>
          <w:lang w:val="sr-Cyrl-CS"/>
        </w:rPr>
        <w:t>7</w:t>
      </w:r>
      <w:r w:rsidRPr="00B93361">
        <w:rPr>
          <w:lang w:val="sr-Cyrl-CS"/>
        </w:rPr>
        <w:t>.</w:t>
      </w:r>
      <w:r w:rsidR="00FA64EA">
        <w:rPr>
          <w:lang w:val="sr-Cyrl-CS"/>
        </w:rPr>
        <w:t>875 места у 619</w:t>
      </w:r>
      <w:r w:rsidRPr="00B93361">
        <w:rPr>
          <w:lang w:val="sr-Cyrl-CS"/>
        </w:rPr>
        <w:t xml:space="preserve"> одељења, уписано 1</w:t>
      </w:r>
      <w:r w:rsidR="00FA64EA">
        <w:rPr>
          <w:lang w:val="sr-Cyrl-CS"/>
        </w:rPr>
        <w:t>4</w:t>
      </w:r>
      <w:r w:rsidRPr="00B93361">
        <w:rPr>
          <w:lang w:val="sr-Cyrl-CS"/>
        </w:rPr>
        <w:t>.</w:t>
      </w:r>
      <w:r w:rsidR="00FA64EA">
        <w:rPr>
          <w:lang w:val="sr-Cyrl-CS"/>
        </w:rPr>
        <w:t>982 ученика у 610</w:t>
      </w:r>
      <w:r w:rsidRPr="00B93361">
        <w:rPr>
          <w:lang w:val="sr-Cyrl-CS"/>
        </w:rPr>
        <w:t xml:space="preserve"> одељења (табела 1.) (уписано </w:t>
      </w:r>
      <w:r w:rsidR="00FA64EA">
        <w:rPr>
          <w:lang w:val="sr-Cyrl-CS"/>
        </w:rPr>
        <w:t>744</w:t>
      </w:r>
      <w:r w:rsidRPr="00B93361">
        <w:rPr>
          <w:bCs/>
          <w:lang w:val="sr-Cyrl-CS"/>
        </w:rPr>
        <w:t xml:space="preserve"> ученика или </w:t>
      </w:r>
      <w:r w:rsidR="00FA64EA">
        <w:rPr>
          <w:bCs/>
          <w:lang w:val="sr-Cyrl-CS"/>
        </w:rPr>
        <w:t>4</w:t>
      </w:r>
      <w:r w:rsidRPr="00B93361">
        <w:rPr>
          <w:bCs/>
          <w:lang w:val="sr-Cyrl-CS"/>
        </w:rPr>
        <w:t>,</w:t>
      </w:r>
      <w:r w:rsidR="00FA64EA">
        <w:rPr>
          <w:bCs/>
          <w:lang w:val="sr-Cyrl-CS"/>
        </w:rPr>
        <w:t>73</w:t>
      </w:r>
      <w:r w:rsidRPr="00B93361">
        <w:rPr>
          <w:bCs/>
          <w:lang w:val="sr-Cyrl-CS"/>
        </w:rPr>
        <w:t>% мање)</w:t>
      </w:r>
      <w:r w:rsidRPr="00B93361">
        <w:rPr>
          <w:lang w:val="sr-Cyrl-CS"/>
        </w:rPr>
        <w:t xml:space="preserve">. </w:t>
      </w:r>
    </w:p>
    <w:p w:rsidR="00A968D5" w:rsidRPr="00B93361" w:rsidRDefault="00A968D5" w:rsidP="00A968D5">
      <w:pPr>
        <w:ind w:left="360"/>
        <w:jc w:val="both"/>
        <w:rPr>
          <w:lang w:val="sr-Cyrl-CS"/>
        </w:rPr>
      </w:pPr>
    </w:p>
    <w:p w:rsidR="00A968D5" w:rsidRPr="00B93361" w:rsidRDefault="00A968D5" w:rsidP="00A968D5">
      <w:pPr>
        <w:numPr>
          <w:ilvl w:val="0"/>
          <w:numId w:val="1"/>
        </w:numPr>
        <w:jc w:val="both"/>
        <w:rPr>
          <w:lang w:val="sr-Cyrl-CS"/>
        </w:rPr>
      </w:pPr>
      <w:r w:rsidRPr="00B93361">
        <w:rPr>
          <w:lang w:val="sr-Cyrl-CS"/>
        </w:rPr>
        <w:t xml:space="preserve">У средњим школама у којима се настава изводи </w:t>
      </w:r>
      <w:r w:rsidRPr="00B93361">
        <w:rPr>
          <w:b/>
          <w:bCs/>
          <w:lang w:val="sr-Cyrl-CS"/>
        </w:rPr>
        <w:t xml:space="preserve">на </w:t>
      </w:r>
      <w:r w:rsidRPr="00B93361">
        <w:rPr>
          <w:b/>
          <w:lang w:val="sr-Cyrl-CS"/>
        </w:rPr>
        <w:t xml:space="preserve">мађарском језику, </w:t>
      </w:r>
      <w:r w:rsidRPr="00B93361">
        <w:rPr>
          <w:b/>
          <w:bCs/>
          <w:lang w:val="sr-Cyrl-CS"/>
        </w:rPr>
        <w:t>упис</w:t>
      </w:r>
      <w:r w:rsidRPr="00B93361">
        <w:rPr>
          <w:bCs/>
          <w:lang w:val="sr-Cyrl-CS"/>
        </w:rPr>
        <w:t xml:space="preserve"> ученика </w:t>
      </w:r>
      <w:r w:rsidRPr="00B93361">
        <w:rPr>
          <w:b/>
          <w:lang w:val="sr-Cyrl-CS"/>
        </w:rPr>
        <w:t>реализован</w:t>
      </w:r>
      <w:r w:rsidRPr="00B93361">
        <w:rPr>
          <w:lang w:val="sr-Cyrl-CS"/>
        </w:rPr>
        <w:t xml:space="preserve"> </w:t>
      </w:r>
      <w:r w:rsidRPr="00B93361">
        <w:rPr>
          <w:bCs/>
          <w:lang w:val="sr-Cyrl-CS"/>
        </w:rPr>
        <w:t>је</w:t>
      </w:r>
      <w:r w:rsidRPr="00B93361">
        <w:rPr>
          <w:lang w:val="sr-Cyrl-CS"/>
        </w:rPr>
        <w:t xml:space="preserve"> са </w:t>
      </w:r>
      <w:r w:rsidR="00053D53">
        <w:rPr>
          <w:b/>
          <w:lang w:val="sr-Cyrl-CS"/>
        </w:rPr>
        <w:t>68</w:t>
      </w:r>
      <w:r w:rsidRPr="00B93361">
        <w:rPr>
          <w:b/>
          <w:bCs/>
          <w:lang w:val="sr-Cyrl-CS"/>
        </w:rPr>
        <w:t>,</w:t>
      </w:r>
      <w:r w:rsidR="00053D53">
        <w:rPr>
          <w:b/>
          <w:bCs/>
          <w:lang w:val="sr-Cyrl-CS"/>
        </w:rPr>
        <w:t>80</w:t>
      </w:r>
      <w:r w:rsidRPr="00B93361">
        <w:rPr>
          <w:b/>
          <w:bCs/>
          <w:lang w:val="sr-Cyrl-CS"/>
        </w:rPr>
        <w:t>%</w:t>
      </w:r>
      <w:r w:rsidRPr="00B93361">
        <w:rPr>
          <w:lang w:val="sr-Cyrl-CS"/>
        </w:rPr>
        <w:t xml:space="preserve">, што је за </w:t>
      </w:r>
      <w:r w:rsidR="00053D53">
        <w:rPr>
          <w:b/>
          <w:lang w:val="sr-Cyrl-CS"/>
        </w:rPr>
        <w:t>2</w:t>
      </w:r>
      <w:r w:rsidRPr="00B93361">
        <w:rPr>
          <w:b/>
          <w:bCs/>
          <w:lang w:val="sr-Cyrl-CS"/>
        </w:rPr>
        <w:t>,</w:t>
      </w:r>
      <w:r w:rsidR="00053D53">
        <w:rPr>
          <w:b/>
          <w:bCs/>
          <w:lang w:val="sr-Cyrl-CS"/>
        </w:rPr>
        <w:t>56</w:t>
      </w:r>
      <w:r w:rsidRPr="00B93361">
        <w:rPr>
          <w:b/>
          <w:bCs/>
          <w:lang w:val="sr-Cyrl-CS"/>
        </w:rPr>
        <w:t>%</w:t>
      </w:r>
      <w:r w:rsidRPr="00B93361">
        <w:rPr>
          <w:lang w:val="sr-Cyrl-CS"/>
        </w:rPr>
        <w:t xml:space="preserve"> </w:t>
      </w:r>
      <w:r w:rsidRPr="00B93361">
        <w:rPr>
          <w:b/>
          <w:bCs/>
          <w:lang w:val="sr-Cyrl-CS"/>
        </w:rPr>
        <w:t>мање</w:t>
      </w:r>
      <w:r w:rsidRPr="00B93361">
        <w:rPr>
          <w:lang w:val="sr-Cyrl-CS"/>
        </w:rPr>
        <w:t xml:space="preserve"> него претходне године, јер је на планира</w:t>
      </w:r>
      <w:r w:rsidR="00053D53">
        <w:rPr>
          <w:lang w:val="sr-Cyrl-CS"/>
        </w:rPr>
        <w:t>на 2.244 места у 78</w:t>
      </w:r>
      <w:r w:rsidRPr="00B93361">
        <w:rPr>
          <w:lang w:val="sr-Cyrl-CS"/>
        </w:rPr>
        <w:t xml:space="preserve"> одељења, уписано 1.</w:t>
      </w:r>
      <w:r w:rsidR="00053D53">
        <w:rPr>
          <w:lang w:val="sr-Cyrl-CS"/>
        </w:rPr>
        <w:t>544</w:t>
      </w:r>
      <w:r w:rsidRPr="00B93361">
        <w:rPr>
          <w:lang w:val="sr-Cyrl-CS"/>
        </w:rPr>
        <w:t xml:space="preserve"> ученика у 7</w:t>
      </w:r>
      <w:r w:rsidR="00053D53">
        <w:rPr>
          <w:lang w:val="sr-Cyrl-CS"/>
        </w:rPr>
        <w:t>7</w:t>
      </w:r>
      <w:r w:rsidRPr="00B93361">
        <w:rPr>
          <w:lang w:val="sr-Cyrl-CS"/>
        </w:rPr>
        <w:t xml:space="preserve"> одељења (табела 2.) (</w:t>
      </w:r>
      <w:r w:rsidRPr="00B93361">
        <w:rPr>
          <w:bCs/>
          <w:lang w:val="sr-Cyrl-CS"/>
        </w:rPr>
        <w:t xml:space="preserve">уписано </w:t>
      </w:r>
      <w:r w:rsidR="00053D53">
        <w:rPr>
          <w:bCs/>
          <w:lang w:val="sr-Cyrl-CS"/>
        </w:rPr>
        <w:t>135 ученика или 8</w:t>
      </w:r>
      <w:r w:rsidRPr="00B93361">
        <w:rPr>
          <w:bCs/>
          <w:lang w:val="sr-Cyrl-CS"/>
        </w:rPr>
        <w:t>,</w:t>
      </w:r>
      <w:r w:rsidR="00053D53">
        <w:rPr>
          <w:bCs/>
          <w:lang w:val="sr-Cyrl-CS"/>
        </w:rPr>
        <w:t>04</w:t>
      </w:r>
      <w:r w:rsidRPr="00B93361">
        <w:rPr>
          <w:bCs/>
          <w:lang w:val="sr-Cyrl-CS"/>
        </w:rPr>
        <w:t>% мање)</w:t>
      </w:r>
      <w:r w:rsidRPr="00B93361">
        <w:rPr>
          <w:lang w:val="sr-Cyrl-CS"/>
        </w:rPr>
        <w:t>.</w:t>
      </w:r>
    </w:p>
    <w:p w:rsidR="00A968D5" w:rsidRPr="00B93361" w:rsidRDefault="00A968D5" w:rsidP="00A968D5">
      <w:pPr>
        <w:jc w:val="both"/>
        <w:rPr>
          <w:lang w:val="sr-Cyrl-CS"/>
        </w:rPr>
      </w:pPr>
    </w:p>
    <w:p w:rsidR="00A968D5" w:rsidRPr="00B93361" w:rsidRDefault="00A968D5" w:rsidP="00A968D5">
      <w:pPr>
        <w:numPr>
          <w:ilvl w:val="0"/>
          <w:numId w:val="1"/>
        </w:numPr>
        <w:jc w:val="both"/>
        <w:rPr>
          <w:lang w:val="sr-Cyrl-CS"/>
        </w:rPr>
      </w:pPr>
      <w:r w:rsidRPr="00B93361">
        <w:rPr>
          <w:lang w:val="sr-Cyrl-CS"/>
        </w:rPr>
        <w:t xml:space="preserve">У средњим школама у којима се настава изводи </w:t>
      </w:r>
      <w:r w:rsidRPr="00B93361">
        <w:rPr>
          <w:b/>
          <w:bCs/>
          <w:lang w:val="sr-Cyrl-CS"/>
        </w:rPr>
        <w:t xml:space="preserve">на </w:t>
      </w:r>
      <w:r w:rsidRPr="00B93361">
        <w:rPr>
          <w:b/>
          <w:lang w:val="sr-Cyrl-CS"/>
        </w:rPr>
        <w:t>словачком језику,</w:t>
      </w:r>
      <w:r w:rsidRPr="00B93361">
        <w:rPr>
          <w:lang w:val="sr-Cyrl-CS"/>
        </w:rPr>
        <w:t xml:space="preserve"> </w:t>
      </w:r>
      <w:r w:rsidRPr="00B93361">
        <w:rPr>
          <w:b/>
          <w:lang w:val="sr-Cyrl-CS"/>
        </w:rPr>
        <w:t>упис</w:t>
      </w:r>
      <w:r w:rsidRPr="00B93361">
        <w:rPr>
          <w:lang w:val="sr-Cyrl-CS"/>
        </w:rPr>
        <w:t xml:space="preserve"> је </w:t>
      </w:r>
      <w:r w:rsidRPr="00B93361">
        <w:rPr>
          <w:b/>
          <w:lang w:val="sr-Cyrl-CS"/>
        </w:rPr>
        <w:t>реализован</w:t>
      </w:r>
      <w:r w:rsidRPr="00B93361">
        <w:rPr>
          <w:lang w:val="sr-Cyrl-CS"/>
        </w:rPr>
        <w:t xml:space="preserve"> са </w:t>
      </w:r>
      <w:r w:rsidR="00053D53">
        <w:rPr>
          <w:b/>
          <w:lang w:val="sr-Cyrl-CS"/>
        </w:rPr>
        <w:t>85</w:t>
      </w:r>
      <w:r w:rsidRPr="00B93361">
        <w:rPr>
          <w:b/>
          <w:lang w:val="sr-Cyrl-CS"/>
        </w:rPr>
        <w:t>,</w:t>
      </w:r>
      <w:r w:rsidR="00053D53">
        <w:rPr>
          <w:b/>
          <w:lang w:val="sr-Cyrl-CS"/>
        </w:rPr>
        <w:t>83</w:t>
      </w:r>
      <w:r w:rsidRPr="00B93361">
        <w:rPr>
          <w:b/>
          <w:bCs/>
          <w:lang w:val="sr-Cyrl-CS"/>
        </w:rPr>
        <w:t>% или 1</w:t>
      </w:r>
      <w:r w:rsidR="00053D53">
        <w:rPr>
          <w:b/>
          <w:bCs/>
          <w:lang w:val="sr-Cyrl-CS"/>
        </w:rPr>
        <w:t>9</w:t>
      </w:r>
      <w:r w:rsidRPr="00B93361">
        <w:rPr>
          <w:b/>
          <w:bCs/>
          <w:lang w:val="sr-Cyrl-CS"/>
        </w:rPr>
        <w:t>,</w:t>
      </w:r>
      <w:r w:rsidR="00053D53">
        <w:rPr>
          <w:b/>
          <w:bCs/>
          <w:lang w:val="sr-Cyrl-CS"/>
        </w:rPr>
        <w:t>16</w:t>
      </w:r>
      <w:r w:rsidRPr="00B93361">
        <w:rPr>
          <w:b/>
          <w:bCs/>
          <w:lang w:val="sr-Cyrl-CS"/>
        </w:rPr>
        <w:t>% више</w:t>
      </w:r>
      <w:r w:rsidRPr="00B93361">
        <w:rPr>
          <w:lang w:val="sr-Cyrl-CS"/>
        </w:rPr>
        <w:t xml:space="preserve"> у односу на претходну годину, јер је на планираних 1</w:t>
      </w:r>
      <w:r w:rsidR="00053D53">
        <w:rPr>
          <w:lang w:val="sr-Cyrl-CS"/>
        </w:rPr>
        <w:t>2</w:t>
      </w:r>
      <w:r w:rsidRPr="00B93361">
        <w:rPr>
          <w:lang w:val="sr-Cyrl-CS"/>
        </w:rPr>
        <w:t xml:space="preserve">0 места у </w:t>
      </w:r>
      <w:r w:rsidR="00053D53">
        <w:rPr>
          <w:lang w:val="sr-Cyrl-CS"/>
        </w:rPr>
        <w:t>четири</w:t>
      </w:r>
      <w:r w:rsidRPr="00B93361">
        <w:rPr>
          <w:lang w:val="sr-Cyrl-CS"/>
        </w:rPr>
        <w:t xml:space="preserve"> одељења, уписано 10</w:t>
      </w:r>
      <w:r w:rsidR="00053D53">
        <w:rPr>
          <w:lang w:val="sr-Cyrl-CS"/>
        </w:rPr>
        <w:t>3</w:t>
      </w:r>
      <w:r w:rsidRPr="00B93361">
        <w:rPr>
          <w:lang w:val="sr-Cyrl-CS"/>
        </w:rPr>
        <w:t xml:space="preserve"> ученика у четири одељења (табела 3.) (уписано </w:t>
      </w:r>
      <w:r w:rsidR="00053D53">
        <w:rPr>
          <w:lang w:val="sr-Cyrl-CS"/>
        </w:rPr>
        <w:t>3 ученика или 3</w:t>
      </w:r>
      <w:r w:rsidRPr="00B93361">
        <w:rPr>
          <w:lang w:val="sr-Cyrl-CS"/>
        </w:rPr>
        <w:t xml:space="preserve">% </w:t>
      </w:r>
      <w:r w:rsidR="00053D53">
        <w:rPr>
          <w:lang w:val="sr-Cyrl-CS"/>
        </w:rPr>
        <w:t>више</w:t>
      </w:r>
      <w:r w:rsidRPr="00B93361">
        <w:rPr>
          <w:lang w:val="sr-Cyrl-CS"/>
        </w:rPr>
        <w:t xml:space="preserve">). </w:t>
      </w:r>
    </w:p>
    <w:p w:rsidR="00A968D5" w:rsidRPr="00B93361" w:rsidRDefault="00A968D5" w:rsidP="00A968D5">
      <w:pPr>
        <w:ind w:left="360"/>
        <w:jc w:val="both"/>
        <w:rPr>
          <w:lang w:val="sr-Cyrl-CS"/>
        </w:rPr>
      </w:pPr>
    </w:p>
    <w:p w:rsidR="00A968D5" w:rsidRPr="00B93361" w:rsidRDefault="00A968D5" w:rsidP="00A968D5">
      <w:pPr>
        <w:numPr>
          <w:ilvl w:val="0"/>
          <w:numId w:val="1"/>
        </w:numPr>
        <w:jc w:val="both"/>
        <w:rPr>
          <w:lang w:val="sr-Cyrl-CS"/>
        </w:rPr>
      </w:pPr>
      <w:r w:rsidRPr="00B93361">
        <w:rPr>
          <w:lang w:val="sr-Cyrl-CS"/>
        </w:rPr>
        <w:t xml:space="preserve">У средњим школама у којима се настава изводи </w:t>
      </w:r>
      <w:r w:rsidRPr="00B93361">
        <w:rPr>
          <w:b/>
          <w:bCs/>
          <w:lang w:val="sr-Cyrl-CS"/>
        </w:rPr>
        <w:t xml:space="preserve">на </w:t>
      </w:r>
      <w:r w:rsidRPr="00B93361">
        <w:rPr>
          <w:b/>
          <w:lang w:val="sr-Cyrl-CS"/>
        </w:rPr>
        <w:t>румунском језику, упис</w:t>
      </w:r>
      <w:r w:rsidRPr="00B93361">
        <w:rPr>
          <w:lang w:val="sr-Cyrl-CS"/>
        </w:rPr>
        <w:t xml:space="preserve"> је </w:t>
      </w:r>
      <w:r w:rsidRPr="00B93361">
        <w:rPr>
          <w:b/>
          <w:lang w:val="sr-Cyrl-CS"/>
        </w:rPr>
        <w:t>реализован</w:t>
      </w:r>
      <w:r w:rsidRPr="00B93361">
        <w:rPr>
          <w:lang w:val="sr-Cyrl-CS"/>
        </w:rPr>
        <w:t xml:space="preserve"> са </w:t>
      </w:r>
      <w:r w:rsidR="0028200C">
        <w:rPr>
          <w:b/>
          <w:lang w:val="sr-Cyrl-CS"/>
        </w:rPr>
        <w:t>9</w:t>
      </w:r>
      <w:r w:rsidR="00053D53">
        <w:rPr>
          <w:b/>
          <w:lang w:val="sr-Cyrl-CS"/>
        </w:rPr>
        <w:t>5</w:t>
      </w:r>
      <w:r w:rsidR="00053D53">
        <w:rPr>
          <w:b/>
          <w:bCs/>
          <w:lang w:val="sr-Cyrl-CS"/>
        </w:rPr>
        <w:t xml:space="preserve">% или </w:t>
      </w:r>
      <w:r w:rsidR="0028200C">
        <w:rPr>
          <w:b/>
          <w:bCs/>
          <w:lang w:val="sr-Cyrl-CS"/>
        </w:rPr>
        <w:t>13,33</w:t>
      </w:r>
      <w:r w:rsidRPr="00B93361">
        <w:rPr>
          <w:b/>
          <w:bCs/>
          <w:lang w:val="sr-Cyrl-CS"/>
        </w:rPr>
        <w:t xml:space="preserve">% више </w:t>
      </w:r>
      <w:r w:rsidRPr="00B93361">
        <w:rPr>
          <w:lang w:val="sr-Cyrl-CS"/>
        </w:rPr>
        <w:t xml:space="preserve">у односу на претходну годину, јер је </w:t>
      </w:r>
      <w:r w:rsidR="0028200C">
        <w:rPr>
          <w:lang w:val="sr-Cyrl-CS"/>
        </w:rPr>
        <w:t>на планираних 60 места уписано 57</w:t>
      </w:r>
      <w:r w:rsidRPr="00B93361">
        <w:rPr>
          <w:lang w:val="sr-Cyrl-CS"/>
        </w:rPr>
        <w:t xml:space="preserve"> ученика (табела 4.) (уписан</w:t>
      </w:r>
      <w:r w:rsidR="0028200C">
        <w:rPr>
          <w:lang w:val="sr-Cyrl-CS"/>
        </w:rPr>
        <w:t>о</w:t>
      </w:r>
      <w:r w:rsidRPr="00B93361">
        <w:rPr>
          <w:lang w:val="sr-Cyrl-CS"/>
        </w:rPr>
        <w:t xml:space="preserve"> </w:t>
      </w:r>
      <w:r w:rsidR="0028200C">
        <w:rPr>
          <w:lang w:val="sr-Cyrl-CS"/>
        </w:rPr>
        <w:t>осам</w:t>
      </w:r>
      <w:r w:rsidRPr="00B93361">
        <w:rPr>
          <w:lang w:val="sr-Cyrl-CS"/>
        </w:rPr>
        <w:t xml:space="preserve"> ученика или </w:t>
      </w:r>
      <w:r w:rsidR="0028200C">
        <w:rPr>
          <w:lang w:val="sr-Cyrl-CS"/>
        </w:rPr>
        <w:t>1</w:t>
      </w:r>
      <w:r w:rsidRPr="00B93361">
        <w:rPr>
          <w:lang w:val="sr-Cyrl-CS"/>
        </w:rPr>
        <w:t>6,</w:t>
      </w:r>
      <w:r w:rsidR="0028200C">
        <w:rPr>
          <w:lang w:val="sr-Cyrl-CS"/>
        </w:rPr>
        <w:t>33</w:t>
      </w:r>
      <w:r w:rsidRPr="00B93361">
        <w:rPr>
          <w:lang w:val="sr-Cyrl-CS"/>
        </w:rPr>
        <w:t xml:space="preserve">% више).  </w:t>
      </w:r>
    </w:p>
    <w:p w:rsidR="00A968D5" w:rsidRPr="00B93361" w:rsidRDefault="00A968D5" w:rsidP="00A968D5">
      <w:pPr>
        <w:jc w:val="both"/>
        <w:rPr>
          <w:lang w:val="sr-Cyrl-CS"/>
        </w:rPr>
      </w:pPr>
    </w:p>
    <w:p w:rsidR="00A968D5" w:rsidRPr="00B93361" w:rsidRDefault="00A968D5" w:rsidP="00A968D5">
      <w:pPr>
        <w:numPr>
          <w:ilvl w:val="0"/>
          <w:numId w:val="1"/>
        </w:numPr>
        <w:jc w:val="both"/>
        <w:rPr>
          <w:lang w:val="sr-Cyrl-CS"/>
        </w:rPr>
      </w:pPr>
      <w:r w:rsidRPr="00B93361">
        <w:rPr>
          <w:lang w:val="sr-Cyrl-CS"/>
        </w:rPr>
        <w:t xml:space="preserve">У средњој школи у којој се настава изводи </w:t>
      </w:r>
      <w:r w:rsidRPr="00B93361">
        <w:rPr>
          <w:b/>
          <w:bCs/>
          <w:lang w:val="sr-Cyrl-CS"/>
        </w:rPr>
        <w:t xml:space="preserve">на </w:t>
      </w:r>
      <w:r w:rsidRPr="00B93361">
        <w:rPr>
          <w:b/>
          <w:lang w:val="sr-Cyrl-CS"/>
        </w:rPr>
        <w:t>русинском језику,</w:t>
      </w:r>
      <w:r w:rsidRPr="00B93361">
        <w:rPr>
          <w:lang w:val="sr-Cyrl-CS"/>
        </w:rPr>
        <w:t xml:space="preserve"> </w:t>
      </w:r>
      <w:r w:rsidRPr="00B93361">
        <w:rPr>
          <w:b/>
          <w:lang w:val="sr-Cyrl-CS"/>
        </w:rPr>
        <w:t>упис</w:t>
      </w:r>
      <w:r w:rsidRPr="00B93361">
        <w:rPr>
          <w:lang w:val="sr-Cyrl-CS"/>
        </w:rPr>
        <w:t xml:space="preserve"> је </w:t>
      </w:r>
      <w:r w:rsidRPr="00B93361">
        <w:rPr>
          <w:b/>
          <w:lang w:val="sr-Cyrl-CS"/>
        </w:rPr>
        <w:t>реализован</w:t>
      </w:r>
      <w:r w:rsidRPr="00B93361">
        <w:rPr>
          <w:lang w:val="sr-Cyrl-CS"/>
        </w:rPr>
        <w:t xml:space="preserve"> са </w:t>
      </w:r>
      <w:r w:rsidR="00882FC0">
        <w:rPr>
          <w:b/>
          <w:lang w:val="sr-Cyrl-CS"/>
        </w:rPr>
        <w:t>43</w:t>
      </w:r>
      <w:r w:rsidRPr="00B93361">
        <w:rPr>
          <w:b/>
          <w:lang w:val="sr-Cyrl-CS"/>
        </w:rPr>
        <w:t>,</w:t>
      </w:r>
      <w:r w:rsidR="00882FC0">
        <w:rPr>
          <w:b/>
          <w:lang w:val="sr-Cyrl-CS"/>
        </w:rPr>
        <w:t>33</w:t>
      </w:r>
      <w:r w:rsidR="00882FC0">
        <w:rPr>
          <w:b/>
          <w:bCs/>
          <w:lang w:val="sr-Cyrl-CS"/>
        </w:rPr>
        <w:t>% или 6</w:t>
      </w:r>
      <w:r w:rsidRPr="00B93361">
        <w:rPr>
          <w:b/>
          <w:bCs/>
          <w:lang w:val="sr-Cyrl-CS"/>
        </w:rPr>
        <w:t>,</w:t>
      </w:r>
      <w:r w:rsidR="00882FC0">
        <w:rPr>
          <w:b/>
          <w:bCs/>
          <w:lang w:val="sr-Cyrl-CS"/>
        </w:rPr>
        <w:t>66</w:t>
      </w:r>
      <w:r w:rsidRPr="00B93361">
        <w:rPr>
          <w:b/>
          <w:bCs/>
          <w:lang w:val="sr-Cyrl-CS"/>
        </w:rPr>
        <w:t xml:space="preserve">% </w:t>
      </w:r>
      <w:r w:rsidR="00882FC0">
        <w:rPr>
          <w:b/>
          <w:bCs/>
          <w:lang w:val="sr-Cyrl-CS"/>
        </w:rPr>
        <w:t>више</w:t>
      </w:r>
      <w:r w:rsidRPr="00B93361">
        <w:rPr>
          <w:b/>
          <w:bCs/>
          <w:lang w:val="sr-Cyrl-CS"/>
        </w:rPr>
        <w:t xml:space="preserve"> </w:t>
      </w:r>
      <w:r w:rsidRPr="00B93361">
        <w:rPr>
          <w:lang w:val="sr-Cyrl-CS"/>
        </w:rPr>
        <w:t>него претходне године, јер је н</w:t>
      </w:r>
      <w:r w:rsidR="00882FC0">
        <w:rPr>
          <w:lang w:val="sr-Cyrl-CS"/>
        </w:rPr>
        <w:t>а планираних 30 места уписано 13</w:t>
      </w:r>
      <w:r w:rsidRPr="00B93361">
        <w:rPr>
          <w:lang w:val="sr-Cyrl-CS"/>
        </w:rPr>
        <w:t xml:space="preserve"> ученика (табела 5.) (уписано </w:t>
      </w:r>
      <w:r w:rsidR="00882FC0">
        <w:rPr>
          <w:lang w:val="sr-Cyrl-CS"/>
        </w:rPr>
        <w:t>два ученика или 1</w:t>
      </w:r>
      <w:r w:rsidRPr="00B93361">
        <w:rPr>
          <w:lang w:val="sr-Cyrl-CS"/>
        </w:rPr>
        <w:t>8,</w:t>
      </w:r>
      <w:r w:rsidR="00882FC0">
        <w:rPr>
          <w:lang w:val="sr-Cyrl-CS"/>
        </w:rPr>
        <w:t>18</w:t>
      </w:r>
      <w:r w:rsidRPr="00B93361">
        <w:rPr>
          <w:lang w:val="sr-Cyrl-CS"/>
        </w:rPr>
        <w:t xml:space="preserve">% </w:t>
      </w:r>
      <w:r w:rsidR="00882FC0">
        <w:rPr>
          <w:lang w:val="sr-Cyrl-CS"/>
        </w:rPr>
        <w:t>више</w:t>
      </w:r>
      <w:r w:rsidRPr="00B93361">
        <w:rPr>
          <w:lang w:val="sr-Cyrl-CS"/>
        </w:rPr>
        <w:t xml:space="preserve">). </w:t>
      </w:r>
    </w:p>
    <w:p w:rsidR="00A968D5" w:rsidRPr="00B93361" w:rsidRDefault="00A968D5" w:rsidP="00A968D5">
      <w:pPr>
        <w:ind w:left="360"/>
        <w:jc w:val="both"/>
        <w:rPr>
          <w:lang w:val="sr-Cyrl-CS"/>
        </w:rPr>
      </w:pPr>
    </w:p>
    <w:p w:rsidR="00A968D5" w:rsidRPr="00B93361" w:rsidRDefault="00A968D5" w:rsidP="00A968D5">
      <w:pPr>
        <w:numPr>
          <w:ilvl w:val="0"/>
          <w:numId w:val="1"/>
        </w:numPr>
        <w:jc w:val="both"/>
        <w:rPr>
          <w:lang w:val="sr-Cyrl-CS"/>
        </w:rPr>
      </w:pPr>
      <w:r w:rsidRPr="00B93361">
        <w:rPr>
          <w:lang w:val="sr-Cyrl-CS"/>
        </w:rPr>
        <w:t xml:space="preserve">У средњој школи у којој се настава изводи </w:t>
      </w:r>
      <w:r w:rsidRPr="00B93361">
        <w:rPr>
          <w:b/>
          <w:bCs/>
          <w:lang w:val="sr-Cyrl-CS"/>
        </w:rPr>
        <w:t xml:space="preserve">на </w:t>
      </w:r>
      <w:r w:rsidRPr="00B93361">
        <w:rPr>
          <w:b/>
          <w:lang w:val="sr-Cyrl-CS"/>
        </w:rPr>
        <w:t>хрватском језику,</w:t>
      </w:r>
      <w:r w:rsidRPr="00B93361">
        <w:rPr>
          <w:lang w:val="sr-Cyrl-CS"/>
        </w:rPr>
        <w:t xml:space="preserve"> </w:t>
      </w:r>
      <w:r w:rsidRPr="00B93361">
        <w:rPr>
          <w:b/>
          <w:lang w:val="sr-Cyrl-CS"/>
        </w:rPr>
        <w:t>упис</w:t>
      </w:r>
      <w:r w:rsidRPr="00B93361">
        <w:rPr>
          <w:lang w:val="sr-Cyrl-CS"/>
        </w:rPr>
        <w:t xml:space="preserve"> је </w:t>
      </w:r>
      <w:r w:rsidRPr="00B93361">
        <w:rPr>
          <w:b/>
          <w:lang w:val="sr-Cyrl-CS"/>
        </w:rPr>
        <w:t>реализован</w:t>
      </w:r>
      <w:r w:rsidRPr="00B93361">
        <w:rPr>
          <w:lang w:val="sr-Cyrl-CS"/>
        </w:rPr>
        <w:t xml:space="preserve"> са </w:t>
      </w:r>
      <w:r w:rsidR="00882FC0">
        <w:rPr>
          <w:b/>
          <w:lang w:val="sr-Cyrl-CS"/>
        </w:rPr>
        <w:t>5</w:t>
      </w:r>
      <w:r w:rsidRPr="00B93361">
        <w:rPr>
          <w:b/>
          <w:lang w:val="sr-Cyrl-CS"/>
        </w:rPr>
        <w:t>6,67</w:t>
      </w:r>
      <w:r w:rsidRPr="00B93361">
        <w:rPr>
          <w:b/>
          <w:bCs/>
          <w:lang w:val="sr-Cyrl-CS"/>
        </w:rPr>
        <w:t xml:space="preserve">% или 10% </w:t>
      </w:r>
      <w:r w:rsidR="00882FC0">
        <w:rPr>
          <w:b/>
          <w:bCs/>
          <w:lang w:val="sr-Cyrl-CS"/>
        </w:rPr>
        <w:t>мање</w:t>
      </w:r>
      <w:r w:rsidRPr="00B93361">
        <w:rPr>
          <w:b/>
          <w:bCs/>
          <w:lang w:val="sr-Cyrl-CS"/>
        </w:rPr>
        <w:t xml:space="preserve"> </w:t>
      </w:r>
      <w:r w:rsidRPr="00B93361">
        <w:rPr>
          <w:lang w:val="sr-Cyrl-CS"/>
        </w:rPr>
        <w:t xml:space="preserve">него претходне године, јер је на планираних 60 места </w:t>
      </w:r>
      <w:r w:rsidR="00882FC0">
        <w:rPr>
          <w:lang w:val="sr-Cyrl-CS"/>
        </w:rPr>
        <w:t>уписано 34</w:t>
      </w:r>
      <w:r w:rsidRPr="00B93361">
        <w:rPr>
          <w:lang w:val="sr-Cyrl-CS"/>
        </w:rPr>
        <w:t xml:space="preserve"> ученика (табела 6.) (уписано шест ученика или 15% </w:t>
      </w:r>
      <w:r w:rsidR="00882FC0">
        <w:rPr>
          <w:lang w:val="sr-Cyrl-CS"/>
        </w:rPr>
        <w:t>мање</w:t>
      </w:r>
      <w:r w:rsidRPr="00B93361">
        <w:rPr>
          <w:lang w:val="sr-Cyrl-CS"/>
        </w:rPr>
        <w:t xml:space="preserve">). </w:t>
      </w:r>
    </w:p>
    <w:p w:rsidR="00A968D5" w:rsidRPr="00B93361" w:rsidRDefault="00A968D5" w:rsidP="00A968D5">
      <w:pPr>
        <w:jc w:val="both"/>
        <w:rPr>
          <w:lang w:val="sr-Cyrl-CS"/>
        </w:rPr>
      </w:pPr>
    </w:p>
    <w:p w:rsidR="00A968D5" w:rsidRPr="00B93361" w:rsidRDefault="00A968D5" w:rsidP="00A968D5">
      <w:pPr>
        <w:numPr>
          <w:ilvl w:val="0"/>
          <w:numId w:val="1"/>
        </w:numPr>
        <w:jc w:val="both"/>
        <w:rPr>
          <w:lang w:val="sr-Cyrl-CS"/>
        </w:rPr>
      </w:pPr>
      <w:r w:rsidRPr="00B93361">
        <w:rPr>
          <w:b/>
          <w:bCs/>
          <w:lang w:val="sr-Cyrl-CS"/>
        </w:rPr>
        <w:t>Настава</w:t>
      </w:r>
      <w:r w:rsidRPr="00B93361">
        <w:rPr>
          <w:b/>
          <w:lang w:val="sr-Cyrl-CS"/>
        </w:rPr>
        <w:t xml:space="preserve"> на два језика</w:t>
      </w:r>
      <w:r w:rsidRPr="00B93361">
        <w:rPr>
          <w:lang w:val="sr-Cyrl-CS"/>
        </w:rPr>
        <w:t xml:space="preserve"> реализује се у </w:t>
      </w:r>
      <w:r w:rsidRPr="00B93361">
        <w:rPr>
          <w:b/>
          <w:lang w:val="sr-Cyrl-CS"/>
        </w:rPr>
        <w:t>37</w:t>
      </w:r>
      <w:r w:rsidRPr="00B93361">
        <w:rPr>
          <w:b/>
          <w:bCs/>
          <w:lang w:val="sr-Cyrl-CS"/>
        </w:rPr>
        <w:t xml:space="preserve"> средњих школа</w:t>
      </w:r>
      <w:r w:rsidRPr="00B93361">
        <w:rPr>
          <w:lang w:val="sr-Cyrl-CS"/>
        </w:rPr>
        <w:t xml:space="preserve"> (у 32 – на српском и мађарском језику, у две – на српском и словачком језику, у две – на српском и румунском језику и у једној – на српском и русинском језику), а </w:t>
      </w:r>
      <w:r w:rsidRPr="00B93361">
        <w:rPr>
          <w:b/>
          <w:lang w:val="sr-Cyrl-CS"/>
        </w:rPr>
        <w:t xml:space="preserve">настава на једном </w:t>
      </w:r>
      <w:r w:rsidRPr="00B93361">
        <w:rPr>
          <w:b/>
          <w:lang w:val="sr-Cyrl-CS"/>
        </w:rPr>
        <w:lastRenderedPageBreak/>
        <w:t xml:space="preserve">језику </w:t>
      </w:r>
      <w:r w:rsidRPr="00B93361">
        <w:rPr>
          <w:lang w:val="sr-Cyrl-CS"/>
        </w:rPr>
        <w:t xml:space="preserve">реализује се у </w:t>
      </w:r>
      <w:r w:rsidRPr="00B93361">
        <w:rPr>
          <w:b/>
          <w:lang w:val="sr-Cyrl-CS"/>
        </w:rPr>
        <w:t>80 школа</w:t>
      </w:r>
      <w:r w:rsidRPr="00B93361">
        <w:rPr>
          <w:lang w:val="sr-Cyrl-CS"/>
        </w:rPr>
        <w:t xml:space="preserve"> (у 78 на српском и у две на мађарском језику). </w:t>
      </w:r>
      <w:r w:rsidRPr="00B93361">
        <w:rPr>
          <w:b/>
          <w:lang w:val="sr-Cyrl-CS"/>
        </w:rPr>
        <w:t>У три школе</w:t>
      </w:r>
      <w:r w:rsidRPr="00B93361">
        <w:rPr>
          <w:lang w:val="sr-Cyrl-CS"/>
        </w:rPr>
        <w:t xml:space="preserve"> </w:t>
      </w:r>
      <w:r w:rsidRPr="00B93361">
        <w:rPr>
          <w:b/>
          <w:lang w:val="sr-Cyrl-CS"/>
        </w:rPr>
        <w:t>настава</w:t>
      </w:r>
      <w:r w:rsidRPr="00B93361">
        <w:rPr>
          <w:lang w:val="sr-Cyrl-CS"/>
        </w:rPr>
        <w:t xml:space="preserve"> се реализује </w:t>
      </w:r>
      <w:r w:rsidRPr="00B93361">
        <w:rPr>
          <w:b/>
          <w:lang w:val="sr-Cyrl-CS"/>
        </w:rPr>
        <w:t xml:space="preserve">на три језика: </w:t>
      </w:r>
      <w:r w:rsidRPr="00B93361">
        <w:rPr>
          <w:lang w:val="sr-Cyrl-CS"/>
        </w:rPr>
        <w:t>у две школе на српском, мађарском и хрватском језику и у једној школи на српском, мађарском и словачком језику.</w:t>
      </w:r>
    </w:p>
    <w:p w:rsidR="00A968D5" w:rsidRPr="00B93361" w:rsidRDefault="00A968D5" w:rsidP="00A968D5">
      <w:pPr>
        <w:ind w:left="360"/>
        <w:jc w:val="both"/>
        <w:rPr>
          <w:lang w:val="sr-Cyrl-CS"/>
        </w:rPr>
      </w:pPr>
    </w:p>
    <w:p w:rsidR="00A968D5" w:rsidRPr="00B93361" w:rsidRDefault="00A968D5" w:rsidP="00A968D5">
      <w:pPr>
        <w:numPr>
          <w:ilvl w:val="0"/>
          <w:numId w:val="1"/>
        </w:numPr>
        <w:jc w:val="both"/>
        <w:rPr>
          <w:lang w:val="sr-Cyrl-CS"/>
        </w:rPr>
      </w:pPr>
      <w:r w:rsidRPr="00B93361">
        <w:rPr>
          <w:lang w:val="sr-Cyrl-CS"/>
        </w:rPr>
        <w:t>У току 201</w:t>
      </w:r>
      <w:r w:rsidR="00882FC0">
        <w:rPr>
          <w:lang w:val="sr-Cyrl-CS"/>
        </w:rPr>
        <w:t>3</w:t>
      </w:r>
      <w:r w:rsidRPr="00B93361">
        <w:rPr>
          <w:lang w:val="sr-Cyrl-CS"/>
        </w:rPr>
        <w:t>/201</w:t>
      </w:r>
      <w:r w:rsidR="00882FC0">
        <w:rPr>
          <w:lang w:val="sr-Cyrl-CS"/>
        </w:rPr>
        <w:t>4</w:t>
      </w:r>
      <w:r w:rsidRPr="00B93361">
        <w:rPr>
          <w:lang w:val="sr-Cyrl-CS"/>
        </w:rPr>
        <w:t>. школске године, наставу на језицима националних</w:t>
      </w:r>
      <w:r w:rsidR="00882FC0">
        <w:rPr>
          <w:lang w:val="sr-Cyrl-CS"/>
        </w:rPr>
        <w:t xml:space="preserve"> мањина-националних</w:t>
      </w:r>
      <w:r w:rsidRPr="00B93361">
        <w:rPr>
          <w:lang w:val="sr-Cyrl-CS"/>
        </w:rPr>
        <w:t xml:space="preserve"> заједница похађало је </w:t>
      </w:r>
      <w:r w:rsidRPr="00B93361">
        <w:rPr>
          <w:b/>
          <w:bCs/>
          <w:lang w:val="sr-Cyrl-CS"/>
        </w:rPr>
        <w:t>2.</w:t>
      </w:r>
      <w:r w:rsidR="00882FC0">
        <w:rPr>
          <w:b/>
          <w:bCs/>
          <w:lang w:val="sr-Cyrl-CS"/>
        </w:rPr>
        <w:t>324</w:t>
      </w:r>
      <w:r w:rsidRPr="00B93361">
        <w:rPr>
          <w:b/>
          <w:bCs/>
          <w:lang w:val="sr-Cyrl-CS"/>
        </w:rPr>
        <w:t xml:space="preserve"> ученика осмог разреда</w:t>
      </w:r>
      <w:r w:rsidRPr="00B93361">
        <w:rPr>
          <w:lang w:val="sr-Cyrl-CS"/>
        </w:rPr>
        <w:t xml:space="preserve">, од којих је </w:t>
      </w:r>
      <w:r w:rsidRPr="00B93361">
        <w:rPr>
          <w:b/>
          <w:bCs/>
          <w:lang w:val="sr-Cyrl-CS"/>
        </w:rPr>
        <w:t>1.</w:t>
      </w:r>
      <w:r w:rsidR="00882FC0">
        <w:rPr>
          <w:b/>
          <w:bCs/>
          <w:lang w:val="sr-Cyrl-CS"/>
        </w:rPr>
        <w:t>751</w:t>
      </w:r>
      <w:r w:rsidR="000B1D13">
        <w:rPr>
          <w:b/>
          <w:bCs/>
          <w:lang w:val="sr-Cyrl-CS"/>
        </w:rPr>
        <w:t xml:space="preserve"> ученик</w:t>
      </w:r>
      <w:r w:rsidRPr="00B93361">
        <w:rPr>
          <w:lang w:val="sr-Cyrl-CS"/>
        </w:rPr>
        <w:t xml:space="preserve"> (</w:t>
      </w:r>
      <w:r w:rsidRPr="00B93361">
        <w:rPr>
          <w:b/>
          <w:bCs/>
          <w:lang w:val="sr-Cyrl-CS"/>
        </w:rPr>
        <w:t>7</w:t>
      </w:r>
      <w:r w:rsidR="000B1D13">
        <w:rPr>
          <w:b/>
          <w:bCs/>
          <w:lang w:val="sr-Cyrl-CS"/>
        </w:rPr>
        <w:t>5</w:t>
      </w:r>
      <w:r w:rsidRPr="00B93361">
        <w:rPr>
          <w:b/>
          <w:bCs/>
          <w:lang w:val="sr-Cyrl-CS"/>
        </w:rPr>
        <w:t>,</w:t>
      </w:r>
      <w:r w:rsidR="000B1D13">
        <w:rPr>
          <w:b/>
          <w:bCs/>
          <w:lang w:val="sr-Cyrl-CS"/>
        </w:rPr>
        <w:t>34</w:t>
      </w:r>
      <w:r w:rsidRPr="00B93361">
        <w:rPr>
          <w:b/>
          <w:bCs/>
          <w:lang w:val="sr-Cyrl-CS"/>
        </w:rPr>
        <w:t>%</w:t>
      </w:r>
      <w:r w:rsidRPr="00B93361">
        <w:rPr>
          <w:lang w:val="sr-Cyrl-CS"/>
        </w:rPr>
        <w:t xml:space="preserve">) </w:t>
      </w:r>
      <w:r w:rsidRPr="00B93361">
        <w:rPr>
          <w:b/>
          <w:bCs/>
          <w:lang w:val="sr-Cyrl-CS"/>
        </w:rPr>
        <w:t>наставио да се школује на матерњем језику</w:t>
      </w:r>
      <w:r w:rsidRPr="00B93361">
        <w:rPr>
          <w:lang w:val="sr-Cyrl-CS"/>
        </w:rPr>
        <w:t xml:space="preserve"> и у средњој школи у школск</w:t>
      </w:r>
      <w:r w:rsidR="000B1D13">
        <w:rPr>
          <w:lang w:val="sr-Cyrl-CS"/>
        </w:rPr>
        <w:t>ој 2014</w:t>
      </w:r>
      <w:r w:rsidRPr="00B93361">
        <w:rPr>
          <w:lang w:val="sr-Cyrl-CS"/>
        </w:rPr>
        <w:t>/201</w:t>
      </w:r>
      <w:r w:rsidR="000B1D13">
        <w:rPr>
          <w:lang w:val="sr-Cyrl-CS"/>
        </w:rPr>
        <w:t>5</w:t>
      </w:r>
      <w:r w:rsidRPr="00B93361">
        <w:rPr>
          <w:lang w:val="sr-Cyrl-CS"/>
        </w:rPr>
        <w:t xml:space="preserve">. години, што је </w:t>
      </w:r>
      <w:r w:rsidR="000B1D13">
        <w:rPr>
          <w:b/>
          <w:lang w:val="sr-Cyrl-CS"/>
        </w:rPr>
        <w:t>2</w:t>
      </w:r>
      <w:r w:rsidRPr="00B93361">
        <w:rPr>
          <w:b/>
          <w:lang w:val="sr-Cyrl-CS"/>
        </w:rPr>
        <w:t>,</w:t>
      </w:r>
      <w:r w:rsidR="000B1D13">
        <w:rPr>
          <w:b/>
          <w:lang w:val="sr-Cyrl-CS"/>
        </w:rPr>
        <w:t>53</w:t>
      </w:r>
      <w:r w:rsidRPr="00B93361">
        <w:rPr>
          <w:b/>
          <w:lang w:val="sr-Cyrl-CS"/>
        </w:rPr>
        <w:t>% мање</w:t>
      </w:r>
      <w:r w:rsidRPr="00B93361">
        <w:rPr>
          <w:lang w:val="sr-Cyrl-CS"/>
        </w:rPr>
        <w:t xml:space="preserve"> него претходне школске године.</w:t>
      </w:r>
    </w:p>
    <w:p w:rsidR="00A968D5" w:rsidRPr="00B93361" w:rsidRDefault="00A968D5" w:rsidP="00A968D5">
      <w:pPr>
        <w:ind w:left="360"/>
        <w:jc w:val="both"/>
        <w:rPr>
          <w:lang w:val="sr-Cyrl-CS"/>
        </w:rPr>
      </w:pPr>
    </w:p>
    <w:p w:rsidR="00A968D5" w:rsidRPr="0066566E" w:rsidRDefault="00A968D5" w:rsidP="00A968D5">
      <w:pPr>
        <w:numPr>
          <w:ilvl w:val="0"/>
          <w:numId w:val="1"/>
        </w:numPr>
        <w:jc w:val="both"/>
        <w:rPr>
          <w:lang w:val="sr-Cyrl-CS"/>
        </w:rPr>
      </w:pPr>
      <w:r w:rsidRPr="00B93361">
        <w:rPr>
          <w:lang w:val="sr-Cyrl-CS"/>
        </w:rPr>
        <w:t xml:space="preserve">Од укупно </w:t>
      </w:r>
      <w:r w:rsidRPr="0066566E">
        <w:rPr>
          <w:b/>
          <w:lang w:val="sr-Cyrl-CS"/>
        </w:rPr>
        <w:t>2</w:t>
      </w:r>
      <w:r w:rsidR="000B1D13" w:rsidRPr="0066566E">
        <w:rPr>
          <w:b/>
          <w:lang w:val="sr-Cyrl-CS"/>
        </w:rPr>
        <w:t>1</w:t>
      </w:r>
      <w:r w:rsidRPr="0066566E">
        <w:rPr>
          <w:b/>
          <w:lang w:val="sr-Cyrl-CS"/>
        </w:rPr>
        <w:t xml:space="preserve"> регистроване приватне средње школе на територији АП Војводине</w:t>
      </w:r>
      <w:r w:rsidRPr="00B93361">
        <w:rPr>
          <w:lang w:val="sr-Cyrl-CS"/>
        </w:rPr>
        <w:t xml:space="preserve">, на основу достављених података </w:t>
      </w:r>
      <w:r w:rsidRPr="0066566E">
        <w:rPr>
          <w:lang w:val="sr-Cyrl-CS"/>
        </w:rPr>
        <w:t xml:space="preserve">од 16 приватних средњих школа на територији АП Војводине, уписано је </w:t>
      </w:r>
      <w:r w:rsidR="000B1D13" w:rsidRPr="0066566E">
        <w:rPr>
          <w:b/>
          <w:lang w:val="sr-Cyrl-CS"/>
        </w:rPr>
        <w:t>175</w:t>
      </w:r>
      <w:r w:rsidRPr="0066566E">
        <w:rPr>
          <w:b/>
          <w:lang w:val="sr-Cyrl-CS"/>
        </w:rPr>
        <w:t xml:space="preserve"> редовних ученика</w:t>
      </w:r>
      <w:r w:rsidRPr="0066566E">
        <w:rPr>
          <w:lang w:val="sr-Cyrl-CS"/>
        </w:rPr>
        <w:t xml:space="preserve"> у пет подручја рада.</w:t>
      </w:r>
    </w:p>
    <w:p w:rsidR="00A968D5" w:rsidRPr="0066566E" w:rsidRDefault="00A968D5" w:rsidP="00A968D5">
      <w:pPr>
        <w:pStyle w:val="ListParagraph"/>
        <w:rPr>
          <w:lang w:val="sr-Cyrl-CS"/>
        </w:rPr>
      </w:pPr>
    </w:p>
    <w:p w:rsidR="00A968D5" w:rsidRPr="00B93361" w:rsidRDefault="00A968D5" w:rsidP="00A968D5">
      <w:pPr>
        <w:jc w:val="right"/>
        <w:rPr>
          <w:lang w:val="sr-Cyrl-CS"/>
        </w:rPr>
      </w:pPr>
    </w:p>
    <w:p w:rsidR="00A968D5" w:rsidRPr="00B93361" w:rsidRDefault="00A968D5" w:rsidP="00A968D5">
      <w:pPr>
        <w:jc w:val="right"/>
        <w:rPr>
          <w:lang w:val="sr-Cyrl-CS"/>
        </w:rPr>
      </w:pPr>
    </w:p>
    <w:p w:rsidR="00A968D5" w:rsidRPr="00B93361" w:rsidRDefault="00A968D5" w:rsidP="00A968D5">
      <w:pPr>
        <w:jc w:val="right"/>
        <w:rPr>
          <w:lang w:val="sr-Cyrl-CS"/>
        </w:rPr>
      </w:pPr>
    </w:p>
    <w:p w:rsidR="00A968D5" w:rsidRPr="00B93361" w:rsidRDefault="00A968D5" w:rsidP="00A968D5">
      <w:pPr>
        <w:jc w:val="right"/>
        <w:rPr>
          <w:lang w:val="sr-Cyrl-CS"/>
        </w:rPr>
      </w:pPr>
    </w:p>
    <w:p w:rsidR="00A968D5" w:rsidRPr="00B93361" w:rsidRDefault="00A968D5" w:rsidP="00A968D5">
      <w:pPr>
        <w:jc w:val="right"/>
        <w:rPr>
          <w:lang w:val="sr-Cyrl-CS"/>
        </w:rPr>
      </w:pPr>
    </w:p>
    <w:p w:rsidR="00A968D5" w:rsidRPr="00B93361" w:rsidRDefault="00A968D5" w:rsidP="00A968D5">
      <w:pPr>
        <w:jc w:val="right"/>
        <w:rPr>
          <w:lang w:val="sr-Cyrl-CS"/>
        </w:rPr>
      </w:pPr>
    </w:p>
    <w:p w:rsidR="00A968D5" w:rsidRPr="00B93361" w:rsidRDefault="00A968D5" w:rsidP="00A968D5">
      <w:pPr>
        <w:jc w:val="right"/>
        <w:rPr>
          <w:lang w:val="sr-Cyrl-CS"/>
        </w:rPr>
      </w:pPr>
    </w:p>
    <w:p w:rsidR="00A968D5" w:rsidRPr="00B93361" w:rsidRDefault="00A968D5" w:rsidP="00A968D5">
      <w:pPr>
        <w:jc w:val="right"/>
        <w:rPr>
          <w:lang w:val="sr-Cyrl-CS"/>
        </w:rPr>
      </w:pPr>
    </w:p>
    <w:p w:rsidR="00A968D5" w:rsidRPr="00B93361" w:rsidRDefault="00A968D5" w:rsidP="00A968D5">
      <w:pPr>
        <w:jc w:val="right"/>
        <w:rPr>
          <w:lang w:val="sr-Cyrl-CS"/>
        </w:rPr>
      </w:pPr>
    </w:p>
    <w:p w:rsidR="00A968D5" w:rsidRPr="00B93361" w:rsidRDefault="00A968D5" w:rsidP="00A968D5">
      <w:pPr>
        <w:jc w:val="right"/>
        <w:rPr>
          <w:lang w:val="sr-Cyrl-CS"/>
        </w:rPr>
      </w:pPr>
    </w:p>
    <w:p w:rsidR="00A968D5" w:rsidRPr="00B93361" w:rsidRDefault="00A968D5" w:rsidP="00A968D5">
      <w:pPr>
        <w:jc w:val="right"/>
        <w:rPr>
          <w:lang w:val="sr-Cyrl-CS"/>
        </w:rPr>
      </w:pPr>
    </w:p>
    <w:p w:rsidR="00A968D5" w:rsidRPr="00B93361" w:rsidRDefault="00A968D5" w:rsidP="00A968D5">
      <w:pPr>
        <w:jc w:val="right"/>
        <w:rPr>
          <w:lang w:val="sr-Cyrl-CS"/>
        </w:rPr>
      </w:pPr>
    </w:p>
    <w:p w:rsidR="00A968D5" w:rsidRPr="00B93361" w:rsidRDefault="00A968D5" w:rsidP="00A968D5">
      <w:pPr>
        <w:jc w:val="right"/>
        <w:rPr>
          <w:lang w:val="sr-Cyrl-CS"/>
        </w:rPr>
      </w:pPr>
    </w:p>
    <w:p w:rsidR="00A968D5" w:rsidRPr="00B93361" w:rsidRDefault="00A968D5" w:rsidP="00A968D5">
      <w:pPr>
        <w:jc w:val="right"/>
        <w:rPr>
          <w:lang w:val="sr-Cyrl-CS"/>
        </w:rPr>
      </w:pPr>
    </w:p>
    <w:p w:rsidR="00A968D5" w:rsidRPr="00B93361" w:rsidRDefault="00A968D5" w:rsidP="00A968D5">
      <w:pPr>
        <w:jc w:val="right"/>
        <w:rPr>
          <w:lang w:val="sr-Cyrl-CS"/>
        </w:rPr>
      </w:pPr>
    </w:p>
    <w:p w:rsidR="00A968D5" w:rsidRDefault="00A968D5" w:rsidP="00A968D5">
      <w:pPr>
        <w:jc w:val="right"/>
        <w:rPr>
          <w:lang w:val="sr-Cyrl-CS"/>
        </w:rPr>
      </w:pPr>
    </w:p>
    <w:p w:rsidR="00C330E4" w:rsidRDefault="00C330E4" w:rsidP="00A968D5">
      <w:pPr>
        <w:jc w:val="right"/>
        <w:rPr>
          <w:lang w:val="sr-Cyrl-CS"/>
        </w:rPr>
      </w:pPr>
    </w:p>
    <w:p w:rsidR="00C330E4" w:rsidRDefault="00C330E4" w:rsidP="00A968D5">
      <w:pPr>
        <w:jc w:val="right"/>
        <w:rPr>
          <w:lang w:val="sr-Cyrl-CS"/>
        </w:rPr>
      </w:pPr>
    </w:p>
    <w:p w:rsidR="00C330E4" w:rsidRDefault="00C330E4" w:rsidP="00A968D5">
      <w:pPr>
        <w:jc w:val="right"/>
        <w:rPr>
          <w:lang w:val="sr-Cyrl-CS"/>
        </w:rPr>
      </w:pPr>
    </w:p>
    <w:p w:rsidR="00C330E4" w:rsidRDefault="00C330E4" w:rsidP="00A968D5">
      <w:pPr>
        <w:jc w:val="right"/>
        <w:rPr>
          <w:lang w:val="sr-Cyrl-CS"/>
        </w:rPr>
      </w:pPr>
    </w:p>
    <w:p w:rsidR="00C330E4" w:rsidRDefault="00C330E4" w:rsidP="00A968D5">
      <w:pPr>
        <w:jc w:val="right"/>
        <w:rPr>
          <w:lang w:val="sr-Cyrl-CS"/>
        </w:rPr>
      </w:pPr>
    </w:p>
    <w:p w:rsidR="00C330E4" w:rsidRDefault="00C330E4" w:rsidP="00A968D5">
      <w:pPr>
        <w:jc w:val="right"/>
        <w:rPr>
          <w:lang w:val="sr-Cyrl-CS"/>
        </w:rPr>
      </w:pPr>
    </w:p>
    <w:p w:rsidR="00C330E4" w:rsidRDefault="00C330E4" w:rsidP="00A968D5">
      <w:pPr>
        <w:jc w:val="right"/>
        <w:rPr>
          <w:lang w:val="sr-Cyrl-CS"/>
        </w:rPr>
      </w:pPr>
    </w:p>
    <w:p w:rsidR="00C330E4" w:rsidRDefault="00C330E4" w:rsidP="00A968D5">
      <w:pPr>
        <w:jc w:val="right"/>
        <w:rPr>
          <w:lang w:val="sr-Cyrl-CS"/>
        </w:rPr>
      </w:pPr>
    </w:p>
    <w:p w:rsidR="00C330E4" w:rsidRDefault="00C330E4" w:rsidP="00A968D5">
      <w:pPr>
        <w:jc w:val="right"/>
        <w:rPr>
          <w:lang w:val="sr-Cyrl-CS"/>
        </w:rPr>
      </w:pPr>
    </w:p>
    <w:p w:rsidR="004A3220" w:rsidRDefault="004A3220" w:rsidP="00A968D5">
      <w:pPr>
        <w:jc w:val="right"/>
        <w:rPr>
          <w:lang w:val="sr-Cyrl-CS"/>
        </w:rPr>
      </w:pPr>
    </w:p>
    <w:p w:rsidR="004A3220" w:rsidRDefault="004A3220" w:rsidP="00A968D5">
      <w:pPr>
        <w:jc w:val="right"/>
        <w:rPr>
          <w:lang w:val="sr-Cyrl-CS"/>
        </w:rPr>
      </w:pPr>
    </w:p>
    <w:p w:rsidR="004A3220" w:rsidRDefault="004A3220" w:rsidP="00A968D5">
      <w:pPr>
        <w:jc w:val="right"/>
        <w:rPr>
          <w:lang w:val="sr-Cyrl-CS"/>
        </w:rPr>
      </w:pPr>
    </w:p>
    <w:p w:rsidR="004A3220" w:rsidRDefault="004A3220" w:rsidP="00A968D5">
      <w:pPr>
        <w:jc w:val="right"/>
        <w:rPr>
          <w:lang w:val="sr-Cyrl-CS"/>
        </w:rPr>
      </w:pPr>
    </w:p>
    <w:p w:rsidR="004A3220" w:rsidRDefault="004A3220" w:rsidP="00A968D5">
      <w:pPr>
        <w:jc w:val="right"/>
        <w:rPr>
          <w:lang w:val="sr-Cyrl-CS"/>
        </w:rPr>
      </w:pPr>
    </w:p>
    <w:p w:rsidR="004A3220" w:rsidRDefault="004A3220" w:rsidP="00A968D5">
      <w:pPr>
        <w:jc w:val="right"/>
        <w:rPr>
          <w:lang w:val="sr-Cyrl-CS"/>
        </w:rPr>
      </w:pPr>
    </w:p>
    <w:p w:rsidR="004A3220" w:rsidRDefault="004A3220" w:rsidP="00A968D5">
      <w:pPr>
        <w:jc w:val="right"/>
        <w:rPr>
          <w:lang w:val="sr-Cyrl-CS"/>
        </w:rPr>
      </w:pPr>
    </w:p>
    <w:p w:rsidR="004A3220" w:rsidRDefault="004A3220" w:rsidP="00A968D5">
      <w:pPr>
        <w:jc w:val="right"/>
        <w:rPr>
          <w:lang w:val="sr-Cyrl-CS"/>
        </w:rPr>
      </w:pPr>
    </w:p>
    <w:p w:rsidR="004A3220" w:rsidRDefault="004A3220" w:rsidP="00A968D5">
      <w:pPr>
        <w:jc w:val="right"/>
        <w:rPr>
          <w:lang w:val="sr-Cyrl-CS"/>
        </w:rPr>
      </w:pPr>
    </w:p>
    <w:p w:rsidR="004A3220" w:rsidRDefault="004A3220" w:rsidP="00A968D5">
      <w:pPr>
        <w:jc w:val="right"/>
        <w:rPr>
          <w:lang w:val="sr-Cyrl-CS"/>
        </w:rPr>
      </w:pPr>
    </w:p>
    <w:p w:rsidR="004A3220" w:rsidRPr="00B93361" w:rsidRDefault="004A3220" w:rsidP="00A968D5">
      <w:pPr>
        <w:jc w:val="right"/>
        <w:rPr>
          <w:lang w:val="sr-Cyrl-CS"/>
        </w:rPr>
      </w:pPr>
    </w:p>
    <w:p w:rsidR="00A968D5" w:rsidRPr="00B93361" w:rsidRDefault="00A968D5" w:rsidP="00A968D5">
      <w:pPr>
        <w:jc w:val="right"/>
        <w:rPr>
          <w:lang w:val="sr-Cyrl-CS"/>
        </w:rPr>
      </w:pPr>
    </w:p>
    <w:p w:rsidR="00A968D5" w:rsidRPr="00B93361" w:rsidRDefault="00A968D5" w:rsidP="00A968D5">
      <w:pPr>
        <w:jc w:val="right"/>
        <w:rPr>
          <w:lang w:val="sr-Cyrl-CS"/>
        </w:rPr>
      </w:pPr>
      <w:r w:rsidRPr="00B93361">
        <w:rPr>
          <w:lang w:val="sr-Cyrl-CS"/>
        </w:rPr>
        <w:lastRenderedPageBreak/>
        <w:t>ПРЕДЛОГ</w:t>
      </w:r>
    </w:p>
    <w:p w:rsidR="00A968D5" w:rsidRPr="00B93361" w:rsidRDefault="00A968D5" w:rsidP="00A968D5">
      <w:pPr>
        <w:jc w:val="right"/>
        <w:rPr>
          <w:lang w:val="sr-Cyrl-CS"/>
        </w:rPr>
      </w:pPr>
    </w:p>
    <w:p w:rsidR="00A968D5" w:rsidRPr="00B93361" w:rsidRDefault="00A968D5" w:rsidP="00A968D5">
      <w:pPr>
        <w:jc w:val="right"/>
        <w:rPr>
          <w:lang w:val="sr-Cyrl-CS"/>
        </w:rPr>
      </w:pPr>
    </w:p>
    <w:p w:rsidR="00A968D5" w:rsidRPr="00933BBE" w:rsidRDefault="00C949FA" w:rsidP="00A968D5">
      <w:pPr>
        <w:ind w:firstLine="720"/>
        <w:jc w:val="both"/>
        <w:rPr>
          <w:lang w:val="sr-Cyrl-CS"/>
        </w:rPr>
      </w:pPr>
      <w:r>
        <w:rPr>
          <w:lang w:val="sr-Cyrl-CS"/>
        </w:rPr>
        <w:t>Покрајинска влада</w:t>
      </w:r>
      <w:r w:rsidR="00A968D5" w:rsidRPr="00B93361">
        <w:rPr>
          <w:lang w:val="sr-Cyrl-CS"/>
        </w:rPr>
        <w:t xml:space="preserve"> на ......... седници одржаној  ......... </w:t>
      </w:r>
      <w:r w:rsidR="00A968D5" w:rsidRPr="00933BBE">
        <w:rPr>
          <w:lang w:val="sr-Cyrl-CS"/>
        </w:rPr>
        <w:t>201</w:t>
      </w:r>
      <w:r>
        <w:rPr>
          <w:lang w:val="sr-Cyrl-CS"/>
        </w:rPr>
        <w:t>4</w:t>
      </w:r>
      <w:r w:rsidR="00A968D5" w:rsidRPr="00933BBE">
        <w:rPr>
          <w:lang w:val="sr-Cyrl-CS"/>
        </w:rPr>
        <w:t xml:space="preserve">. године, размотрила је и </w:t>
      </w:r>
      <w:r w:rsidR="00A968D5">
        <w:rPr>
          <w:lang w:val="sr-Cyrl-CS"/>
        </w:rPr>
        <w:t xml:space="preserve"> </w:t>
      </w:r>
      <w:r w:rsidR="00A968D5" w:rsidRPr="00933BBE">
        <w:rPr>
          <w:lang w:val="sr-Cyrl-CS"/>
        </w:rPr>
        <w:t>п р и х в а т и л а</w:t>
      </w:r>
      <w:r w:rsidR="00A968D5" w:rsidRPr="00933BBE">
        <w:rPr>
          <w:b/>
          <w:bCs/>
          <w:lang w:val="sr-Cyrl-CS"/>
        </w:rPr>
        <w:t xml:space="preserve"> </w:t>
      </w:r>
      <w:r w:rsidR="00A968D5">
        <w:rPr>
          <w:b/>
          <w:bCs/>
          <w:lang w:val="sr-Cyrl-CS"/>
        </w:rPr>
        <w:t xml:space="preserve"> </w:t>
      </w:r>
      <w:r w:rsidR="00A968D5" w:rsidRPr="00933BBE">
        <w:rPr>
          <w:b/>
          <w:bCs/>
          <w:lang w:val="sr-Cyrl-CS"/>
        </w:rPr>
        <w:t>ИНФОРМАЦИЈУ О УПИСУ УЧЕНИКА У ПРВИ РАЗРЕД СРЕДЊЕ ШКОЛЕ ЗА ШКОЛСКУ 201</w:t>
      </w:r>
      <w:r>
        <w:rPr>
          <w:b/>
          <w:bCs/>
          <w:lang w:val="sr-Cyrl-CS"/>
        </w:rPr>
        <w:t>4</w:t>
      </w:r>
      <w:r w:rsidR="00A968D5" w:rsidRPr="00933BBE">
        <w:rPr>
          <w:b/>
          <w:bCs/>
          <w:lang w:val="sr-Cyrl-CS"/>
        </w:rPr>
        <w:t>/201</w:t>
      </w:r>
      <w:r>
        <w:rPr>
          <w:b/>
          <w:bCs/>
          <w:lang w:val="sr-Cyrl-CS"/>
        </w:rPr>
        <w:t>5</w:t>
      </w:r>
      <w:r w:rsidR="00A968D5" w:rsidRPr="00933BBE">
        <w:rPr>
          <w:b/>
          <w:bCs/>
          <w:lang w:val="sr-Cyrl-CS"/>
        </w:rPr>
        <w:t xml:space="preserve">. ГОДИНУ У АУТОНОМНОЈ ПОКРАЈИНИ ВОЈВОДИНИ   </w:t>
      </w:r>
      <w:r w:rsidR="00A968D5" w:rsidRPr="00933BBE">
        <w:rPr>
          <w:lang w:val="sr-Cyrl-CS"/>
        </w:rPr>
        <w:t>и   д о н е л а следеће</w:t>
      </w:r>
    </w:p>
    <w:p w:rsidR="00A968D5" w:rsidRPr="00933BBE" w:rsidRDefault="00A968D5" w:rsidP="00A968D5">
      <w:pPr>
        <w:jc w:val="both"/>
        <w:rPr>
          <w:lang w:val="sr-Cyrl-CS"/>
        </w:rPr>
      </w:pPr>
    </w:p>
    <w:p w:rsidR="00A968D5" w:rsidRPr="00933BBE" w:rsidRDefault="00A968D5" w:rsidP="00A968D5">
      <w:pPr>
        <w:jc w:val="both"/>
        <w:rPr>
          <w:lang w:val="sr-Cyrl-CS"/>
        </w:rPr>
      </w:pPr>
    </w:p>
    <w:p w:rsidR="00A968D5" w:rsidRPr="00933BBE" w:rsidRDefault="00A968D5" w:rsidP="00A968D5">
      <w:pPr>
        <w:jc w:val="both"/>
        <w:rPr>
          <w:lang w:val="sr-Cyrl-CS"/>
        </w:rPr>
      </w:pPr>
    </w:p>
    <w:p w:rsidR="00A968D5" w:rsidRPr="00933BBE" w:rsidRDefault="00A968D5" w:rsidP="00A968D5">
      <w:pPr>
        <w:pStyle w:val="Heading1"/>
        <w:rPr>
          <w:sz w:val="28"/>
        </w:rPr>
      </w:pPr>
      <w:r w:rsidRPr="00933BBE">
        <w:rPr>
          <w:sz w:val="28"/>
        </w:rPr>
        <w:t>З А К Љ У Ч К Е</w:t>
      </w:r>
    </w:p>
    <w:p w:rsidR="00A968D5" w:rsidRPr="00933BBE" w:rsidRDefault="00A968D5" w:rsidP="00A968D5">
      <w:pPr>
        <w:jc w:val="both"/>
        <w:rPr>
          <w:lang w:val="sr-Cyrl-CS"/>
        </w:rPr>
      </w:pPr>
    </w:p>
    <w:p w:rsidR="00A968D5" w:rsidRPr="00933BBE" w:rsidRDefault="00A968D5" w:rsidP="00A968D5">
      <w:pPr>
        <w:jc w:val="both"/>
        <w:rPr>
          <w:lang w:val="sr-Cyrl-CS"/>
        </w:rPr>
      </w:pPr>
    </w:p>
    <w:p w:rsidR="00A968D5" w:rsidRPr="00933BBE" w:rsidRDefault="00A968D5" w:rsidP="00A968D5">
      <w:pPr>
        <w:jc w:val="both"/>
        <w:rPr>
          <w:lang w:val="sr-Cyrl-CS"/>
        </w:rPr>
      </w:pPr>
    </w:p>
    <w:p w:rsidR="00A968D5" w:rsidRDefault="00A968D5" w:rsidP="00A968D5">
      <w:pPr>
        <w:numPr>
          <w:ilvl w:val="0"/>
          <w:numId w:val="3"/>
        </w:numPr>
        <w:jc w:val="both"/>
        <w:rPr>
          <w:lang w:val="sr-Cyrl-CS"/>
        </w:rPr>
      </w:pPr>
      <w:r w:rsidRPr="00933BBE">
        <w:rPr>
          <w:lang w:val="sr-Cyrl-CS"/>
        </w:rPr>
        <w:t>Задужује се Покрајински секретаријат за образовање</w:t>
      </w:r>
      <w:r>
        <w:rPr>
          <w:lang w:val="sr-Cyrl-CS"/>
        </w:rPr>
        <w:t>,</w:t>
      </w:r>
      <w:r w:rsidR="00C949FA">
        <w:rPr>
          <w:lang w:val="sr-Cyrl-CS"/>
        </w:rPr>
        <w:t xml:space="preserve"> прописе,</w:t>
      </w:r>
      <w:r>
        <w:rPr>
          <w:lang w:val="sr-Cyrl-CS"/>
        </w:rPr>
        <w:t xml:space="preserve"> управу и националне </w:t>
      </w:r>
      <w:r w:rsidR="00C949FA">
        <w:rPr>
          <w:lang w:val="sr-Cyrl-CS"/>
        </w:rPr>
        <w:t xml:space="preserve">мањине-националне </w:t>
      </w:r>
      <w:r>
        <w:rPr>
          <w:lang w:val="sr-Cyrl-CS"/>
        </w:rPr>
        <w:t>заједнице</w:t>
      </w:r>
      <w:r w:rsidRPr="00933BBE">
        <w:rPr>
          <w:lang w:val="sr-Cyrl-CS"/>
        </w:rPr>
        <w:t xml:space="preserve"> да</w:t>
      </w:r>
      <w:r>
        <w:rPr>
          <w:lang w:val="sr-Cyrl-CS"/>
        </w:rPr>
        <w:t>,</w:t>
      </w:r>
      <w:r w:rsidRPr="00933BBE">
        <w:rPr>
          <w:lang w:val="sr-Cyrl-CS"/>
        </w:rPr>
        <w:t xml:space="preserve"> приликом планирања уписа ученика у први разред средње школе за школску 201</w:t>
      </w:r>
      <w:r w:rsidR="00C949FA">
        <w:rPr>
          <w:lang w:val="sr-Cyrl-CS"/>
        </w:rPr>
        <w:t>5</w:t>
      </w:r>
      <w:r w:rsidRPr="00933BBE">
        <w:rPr>
          <w:lang w:val="sr-Cyrl-CS"/>
        </w:rPr>
        <w:t>/201</w:t>
      </w:r>
      <w:r w:rsidR="00C949FA">
        <w:rPr>
          <w:lang w:val="sr-Cyrl-CS"/>
        </w:rPr>
        <w:t>6</w:t>
      </w:r>
      <w:r w:rsidRPr="00933BBE">
        <w:rPr>
          <w:lang w:val="sr-Cyrl-CS"/>
        </w:rPr>
        <w:t>. годину</w:t>
      </w:r>
      <w:r>
        <w:rPr>
          <w:lang w:val="sr-Cyrl-CS"/>
        </w:rPr>
        <w:t>,</w:t>
      </w:r>
      <w:r w:rsidRPr="00933BBE">
        <w:rPr>
          <w:lang w:val="sr-Cyrl-CS"/>
        </w:rPr>
        <w:t xml:space="preserve"> планирани број места по подручјима рада и образовним профилима усклађује с потребама локалне заједнице, тржишта рада и стратегије привредног развоја АП Војводине и бројем ученика завршних – осмих разреда у основним школама АП Војводине.  </w:t>
      </w:r>
    </w:p>
    <w:p w:rsidR="008C1700" w:rsidRPr="00933BBE" w:rsidRDefault="008C1700" w:rsidP="008C1700">
      <w:pPr>
        <w:ind w:left="720"/>
        <w:jc w:val="both"/>
        <w:rPr>
          <w:lang w:val="sr-Cyrl-CS"/>
        </w:rPr>
      </w:pPr>
    </w:p>
    <w:p w:rsidR="003C3C69" w:rsidRPr="001A2ECC" w:rsidRDefault="003C3C69" w:rsidP="003C3C69">
      <w:pPr>
        <w:numPr>
          <w:ilvl w:val="0"/>
          <w:numId w:val="3"/>
        </w:numPr>
        <w:jc w:val="both"/>
        <w:rPr>
          <w:lang w:val="ru-RU"/>
        </w:rPr>
      </w:pPr>
      <w:r w:rsidRPr="001A2ECC">
        <w:rPr>
          <w:lang w:val="sr-Cyrl-CS"/>
        </w:rPr>
        <w:t>Наведену Информацију доставити на разматрање Одбору за образовање и науку и Одбору за националну равноправност Скупштине АП Војводине.</w:t>
      </w:r>
    </w:p>
    <w:p w:rsidR="00A968D5" w:rsidRPr="00C949FA" w:rsidRDefault="00A968D5" w:rsidP="003C3C69">
      <w:pPr>
        <w:ind w:left="720"/>
        <w:jc w:val="both"/>
        <w:rPr>
          <w:color w:val="FF0000"/>
          <w:lang w:val="ru-RU"/>
        </w:rPr>
      </w:pPr>
      <w:bookmarkStart w:id="0" w:name="_GoBack"/>
      <w:bookmarkEnd w:id="0"/>
    </w:p>
    <w:p w:rsidR="00A968D5" w:rsidRPr="00933BBE" w:rsidRDefault="00A968D5" w:rsidP="00A968D5">
      <w:pPr>
        <w:jc w:val="both"/>
        <w:rPr>
          <w:lang w:val="ru-RU"/>
        </w:rPr>
      </w:pPr>
    </w:p>
    <w:p w:rsidR="00A968D5" w:rsidRPr="00933BBE" w:rsidRDefault="00A968D5" w:rsidP="00A968D5">
      <w:pPr>
        <w:jc w:val="both"/>
        <w:rPr>
          <w:lang w:val="ru-RU"/>
        </w:rPr>
      </w:pPr>
    </w:p>
    <w:p w:rsidR="00A968D5" w:rsidRPr="00933BBE" w:rsidRDefault="00A968D5" w:rsidP="00A968D5">
      <w:pPr>
        <w:jc w:val="both"/>
        <w:rPr>
          <w:lang w:val="ru-RU"/>
        </w:rPr>
      </w:pPr>
    </w:p>
    <w:p w:rsidR="00A968D5" w:rsidRPr="00933BBE" w:rsidRDefault="00A968D5" w:rsidP="00A968D5">
      <w:pPr>
        <w:jc w:val="both"/>
        <w:rPr>
          <w:lang w:val="ru-RU"/>
        </w:rPr>
      </w:pPr>
    </w:p>
    <w:p w:rsidR="00A968D5" w:rsidRPr="00933BBE" w:rsidRDefault="00A968D5" w:rsidP="00A968D5">
      <w:pPr>
        <w:jc w:val="both"/>
        <w:rPr>
          <w:lang w:val="ru-RU"/>
        </w:rPr>
      </w:pPr>
    </w:p>
    <w:p w:rsidR="00A968D5" w:rsidRPr="00933BBE" w:rsidRDefault="00A968D5" w:rsidP="00A968D5">
      <w:pPr>
        <w:jc w:val="both"/>
        <w:rPr>
          <w:lang w:val="ru-RU"/>
        </w:rPr>
      </w:pPr>
    </w:p>
    <w:p w:rsidR="00A968D5" w:rsidRPr="00933BBE" w:rsidRDefault="00A968D5" w:rsidP="00A968D5">
      <w:pPr>
        <w:jc w:val="both"/>
        <w:rPr>
          <w:lang w:val="ru-RU"/>
        </w:rPr>
      </w:pPr>
    </w:p>
    <w:p w:rsidR="00A968D5" w:rsidRPr="00933BBE" w:rsidRDefault="00A968D5" w:rsidP="00A968D5">
      <w:pPr>
        <w:jc w:val="both"/>
        <w:rPr>
          <w:lang w:val="ru-RU"/>
        </w:rPr>
      </w:pPr>
    </w:p>
    <w:p w:rsidR="00A968D5" w:rsidRPr="00933BBE" w:rsidRDefault="00A968D5" w:rsidP="00A968D5">
      <w:pPr>
        <w:jc w:val="both"/>
        <w:rPr>
          <w:lang w:val="ru-RU"/>
        </w:rPr>
      </w:pPr>
    </w:p>
    <w:p w:rsidR="00A968D5" w:rsidRPr="00933BBE" w:rsidRDefault="00A968D5" w:rsidP="00A968D5">
      <w:pPr>
        <w:jc w:val="both"/>
        <w:rPr>
          <w:lang w:val="ru-RU"/>
        </w:rPr>
      </w:pPr>
    </w:p>
    <w:p w:rsidR="00A968D5" w:rsidRPr="00933BBE" w:rsidRDefault="00A968D5" w:rsidP="00A968D5">
      <w:pPr>
        <w:jc w:val="both"/>
        <w:rPr>
          <w:lang w:val="ru-RU"/>
        </w:rPr>
      </w:pPr>
    </w:p>
    <w:p w:rsidR="00A968D5" w:rsidRPr="00933BBE" w:rsidRDefault="00A968D5" w:rsidP="00A968D5">
      <w:pPr>
        <w:jc w:val="both"/>
        <w:rPr>
          <w:lang w:val="ru-RU"/>
        </w:rPr>
      </w:pPr>
    </w:p>
    <w:p w:rsidR="00A968D5" w:rsidRPr="00933BBE" w:rsidRDefault="00A968D5" w:rsidP="00A968D5">
      <w:pPr>
        <w:jc w:val="both"/>
        <w:rPr>
          <w:lang w:val="ru-RU"/>
        </w:rPr>
      </w:pPr>
    </w:p>
    <w:p w:rsidR="00A968D5" w:rsidRPr="00933BBE" w:rsidRDefault="00A968D5" w:rsidP="00A968D5">
      <w:pPr>
        <w:jc w:val="both"/>
        <w:rPr>
          <w:lang w:val="ru-RU"/>
        </w:rPr>
      </w:pPr>
    </w:p>
    <w:p w:rsidR="00A968D5" w:rsidRPr="00933BBE" w:rsidRDefault="00A968D5" w:rsidP="00A968D5">
      <w:pPr>
        <w:jc w:val="both"/>
        <w:rPr>
          <w:lang w:val="ru-RU"/>
        </w:rPr>
      </w:pPr>
    </w:p>
    <w:p w:rsidR="00A968D5" w:rsidRPr="00933BBE" w:rsidRDefault="00A968D5" w:rsidP="00A968D5">
      <w:pPr>
        <w:jc w:val="both"/>
        <w:rPr>
          <w:lang w:val="ru-RU"/>
        </w:rPr>
      </w:pPr>
    </w:p>
    <w:p w:rsidR="00A968D5" w:rsidRPr="00933BBE" w:rsidRDefault="00A968D5" w:rsidP="00A968D5">
      <w:pPr>
        <w:jc w:val="both"/>
        <w:rPr>
          <w:lang w:val="ru-RU"/>
        </w:rPr>
      </w:pPr>
    </w:p>
    <w:p w:rsidR="00A968D5" w:rsidRPr="00933BBE" w:rsidRDefault="00A968D5" w:rsidP="00A968D5">
      <w:pPr>
        <w:jc w:val="both"/>
        <w:rPr>
          <w:lang w:val="ru-RU"/>
        </w:rPr>
      </w:pPr>
    </w:p>
    <w:p w:rsidR="00A968D5" w:rsidRPr="00933BBE" w:rsidRDefault="00A968D5" w:rsidP="00A968D5">
      <w:pPr>
        <w:jc w:val="both"/>
        <w:rPr>
          <w:lang w:val="ru-RU"/>
        </w:rPr>
      </w:pPr>
    </w:p>
    <w:p w:rsidR="00A968D5" w:rsidRPr="00933BBE" w:rsidRDefault="00A968D5" w:rsidP="00A968D5">
      <w:pPr>
        <w:jc w:val="both"/>
        <w:rPr>
          <w:lang w:val="ru-RU"/>
        </w:rPr>
      </w:pPr>
    </w:p>
    <w:p w:rsidR="00A968D5" w:rsidRPr="00933BBE" w:rsidRDefault="00A968D5" w:rsidP="00A968D5">
      <w:pPr>
        <w:jc w:val="both"/>
        <w:rPr>
          <w:lang w:val="ru-RU"/>
        </w:rPr>
      </w:pPr>
    </w:p>
    <w:p w:rsidR="00A968D5" w:rsidRPr="00933BBE" w:rsidRDefault="00A968D5" w:rsidP="00A968D5">
      <w:pPr>
        <w:jc w:val="both"/>
        <w:rPr>
          <w:lang w:val="ru-RU"/>
        </w:rPr>
      </w:pPr>
    </w:p>
    <w:p w:rsidR="00A968D5" w:rsidRPr="00933BBE" w:rsidRDefault="00A968D5" w:rsidP="00A968D5">
      <w:pPr>
        <w:jc w:val="both"/>
        <w:rPr>
          <w:lang w:val="ru-RU"/>
        </w:rPr>
      </w:pPr>
    </w:p>
    <w:p w:rsidR="00A968D5" w:rsidRPr="00933BBE" w:rsidRDefault="00A968D5" w:rsidP="00A968D5">
      <w:pPr>
        <w:jc w:val="both"/>
        <w:rPr>
          <w:lang w:val="ru-RU"/>
        </w:rPr>
      </w:pPr>
    </w:p>
    <w:p w:rsidR="00A968D5" w:rsidRPr="00933BBE" w:rsidRDefault="00A968D5" w:rsidP="00A968D5">
      <w:pPr>
        <w:jc w:val="both"/>
        <w:rPr>
          <w:lang w:val="ru-RU"/>
        </w:rPr>
      </w:pPr>
    </w:p>
    <w:p w:rsidR="00A968D5" w:rsidRPr="00933BBE" w:rsidRDefault="00A968D5" w:rsidP="00A968D5">
      <w:pPr>
        <w:jc w:val="both"/>
        <w:rPr>
          <w:lang w:val="ru-RU"/>
        </w:rPr>
      </w:pPr>
    </w:p>
    <w:p w:rsidR="00A968D5" w:rsidRPr="00933BBE" w:rsidRDefault="00A968D5" w:rsidP="00A968D5">
      <w:pPr>
        <w:jc w:val="both"/>
        <w:rPr>
          <w:lang w:val="ru-RU"/>
        </w:rPr>
      </w:pPr>
    </w:p>
    <w:p w:rsidR="00A968D5" w:rsidRPr="00933BBE" w:rsidRDefault="00A968D5" w:rsidP="00A968D5">
      <w:pPr>
        <w:jc w:val="both"/>
        <w:rPr>
          <w:lang w:val="ru-RU"/>
        </w:rPr>
      </w:pPr>
    </w:p>
    <w:p w:rsidR="00A968D5" w:rsidRPr="00933BBE" w:rsidRDefault="00A968D5" w:rsidP="00A968D5">
      <w:pPr>
        <w:jc w:val="both"/>
        <w:rPr>
          <w:lang w:val="ru-RU"/>
        </w:rPr>
      </w:pPr>
    </w:p>
    <w:p w:rsidR="00A968D5" w:rsidRPr="00933BBE" w:rsidRDefault="00A968D5" w:rsidP="00A968D5">
      <w:pPr>
        <w:jc w:val="both"/>
        <w:rPr>
          <w:lang w:val="ru-RU"/>
        </w:rPr>
      </w:pPr>
    </w:p>
    <w:p w:rsidR="00A968D5" w:rsidRPr="00933BBE" w:rsidRDefault="00A968D5" w:rsidP="00A968D5">
      <w:pPr>
        <w:jc w:val="both"/>
        <w:rPr>
          <w:lang w:val="ru-RU"/>
        </w:rPr>
      </w:pPr>
    </w:p>
    <w:p w:rsidR="00A968D5" w:rsidRPr="00933BBE" w:rsidRDefault="00A968D5" w:rsidP="00A968D5">
      <w:pPr>
        <w:jc w:val="both"/>
        <w:rPr>
          <w:lang w:val="ru-RU"/>
        </w:rPr>
      </w:pPr>
    </w:p>
    <w:p w:rsidR="00A968D5" w:rsidRPr="00933BBE" w:rsidRDefault="00A968D5" w:rsidP="00A968D5">
      <w:pPr>
        <w:jc w:val="both"/>
        <w:rPr>
          <w:lang w:val="ru-RU"/>
        </w:rPr>
      </w:pPr>
    </w:p>
    <w:p w:rsidR="00A968D5" w:rsidRPr="00933BBE" w:rsidRDefault="00A968D5" w:rsidP="00A968D5">
      <w:pPr>
        <w:jc w:val="both"/>
        <w:rPr>
          <w:lang w:val="ru-RU"/>
        </w:rPr>
      </w:pPr>
    </w:p>
    <w:p w:rsidR="00A968D5" w:rsidRDefault="00A968D5" w:rsidP="00A968D5">
      <w:pPr>
        <w:jc w:val="both"/>
        <w:rPr>
          <w:lang w:val="ru-RU"/>
        </w:rPr>
      </w:pPr>
    </w:p>
    <w:p w:rsidR="001352B0" w:rsidRDefault="001352B0" w:rsidP="00A968D5">
      <w:pPr>
        <w:jc w:val="both"/>
        <w:rPr>
          <w:lang w:val="ru-RU"/>
        </w:rPr>
      </w:pPr>
    </w:p>
    <w:p w:rsidR="001352B0" w:rsidRDefault="001352B0" w:rsidP="00A968D5">
      <w:pPr>
        <w:jc w:val="both"/>
        <w:rPr>
          <w:lang w:val="ru-RU"/>
        </w:rPr>
      </w:pPr>
    </w:p>
    <w:p w:rsidR="001352B0" w:rsidRDefault="001352B0" w:rsidP="00A968D5">
      <w:pPr>
        <w:jc w:val="both"/>
        <w:rPr>
          <w:lang w:val="ru-RU"/>
        </w:rPr>
      </w:pPr>
    </w:p>
    <w:p w:rsidR="001352B0" w:rsidRDefault="001352B0" w:rsidP="00A968D5">
      <w:pPr>
        <w:jc w:val="both"/>
        <w:rPr>
          <w:lang w:val="ru-RU"/>
        </w:rPr>
      </w:pPr>
    </w:p>
    <w:p w:rsidR="001352B0" w:rsidRPr="00933BBE" w:rsidRDefault="001352B0" w:rsidP="00A968D5">
      <w:pPr>
        <w:jc w:val="both"/>
        <w:rPr>
          <w:lang w:val="ru-RU"/>
        </w:rPr>
      </w:pPr>
    </w:p>
    <w:p w:rsidR="00A968D5" w:rsidRPr="00933BBE" w:rsidRDefault="00A968D5" w:rsidP="00A968D5">
      <w:pPr>
        <w:jc w:val="both"/>
        <w:rPr>
          <w:lang w:val="ru-RU"/>
        </w:rPr>
      </w:pPr>
    </w:p>
    <w:p w:rsidR="00A968D5" w:rsidRPr="00933BBE" w:rsidRDefault="00A968D5" w:rsidP="00A968D5">
      <w:pPr>
        <w:jc w:val="both"/>
        <w:rPr>
          <w:lang w:val="ru-RU"/>
        </w:rPr>
      </w:pPr>
    </w:p>
    <w:p w:rsidR="00A968D5" w:rsidRPr="00933BBE" w:rsidRDefault="00A968D5" w:rsidP="00A968D5">
      <w:pPr>
        <w:jc w:val="both"/>
        <w:rPr>
          <w:lang w:val="ru-RU"/>
        </w:rPr>
      </w:pPr>
    </w:p>
    <w:p w:rsidR="00A968D5" w:rsidRPr="00933BBE" w:rsidRDefault="00A968D5" w:rsidP="00A968D5">
      <w:pPr>
        <w:jc w:val="both"/>
        <w:rPr>
          <w:lang w:val="ru-RU"/>
        </w:rPr>
      </w:pPr>
    </w:p>
    <w:p w:rsidR="00A968D5" w:rsidRPr="00933BBE" w:rsidRDefault="00A968D5" w:rsidP="00A968D5">
      <w:pPr>
        <w:jc w:val="both"/>
        <w:rPr>
          <w:lang w:val="ru-RU"/>
        </w:rPr>
      </w:pPr>
    </w:p>
    <w:p w:rsidR="00A968D5" w:rsidRPr="00933BBE" w:rsidRDefault="00A968D5" w:rsidP="00A968D5">
      <w:pPr>
        <w:jc w:val="both"/>
        <w:rPr>
          <w:lang w:val="ru-RU"/>
        </w:rPr>
      </w:pPr>
    </w:p>
    <w:p w:rsidR="00A968D5" w:rsidRPr="00933BBE" w:rsidRDefault="00A968D5" w:rsidP="00A968D5">
      <w:pPr>
        <w:jc w:val="both"/>
        <w:rPr>
          <w:lang w:val="ru-RU"/>
        </w:rPr>
      </w:pPr>
    </w:p>
    <w:p w:rsidR="00A968D5" w:rsidRPr="00933BBE" w:rsidRDefault="00A968D5" w:rsidP="00A968D5">
      <w:pPr>
        <w:pStyle w:val="Heading2"/>
      </w:pPr>
      <w:r w:rsidRPr="00933BBE">
        <w:t>П Р И Л О З И</w:t>
      </w:r>
    </w:p>
    <w:p w:rsidR="00A968D5" w:rsidRPr="00933BBE" w:rsidRDefault="00A968D5" w:rsidP="00A968D5">
      <w:pPr>
        <w:jc w:val="both"/>
      </w:pPr>
    </w:p>
    <w:p w:rsidR="00C61DAF" w:rsidRDefault="00C61DAF"/>
    <w:sectPr w:rsidR="00C61DAF" w:rsidSect="00B93361">
      <w:footerReference w:type="even" r:id="rId16"/>
      <w:footerReference w:type="default" r:id="rId17"/>
      <w:pgSz w:w="11907" w:h="16840" w:code="9"/>
      <w:pgMar w:top="1418" w:right="1191" w:bottom="1418" w:left="119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08A6" w:rsidRDefault="001708A6">
      <w:r>
        <w:separator/>
      </w:r>
    </w:p>
  </w:endnote>
  <w:endnote w:type="continuationSeparator" w:id="0">
    <w:p w:rsidR="001708A6" w:rsidRDefault="001708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F7F" w:rsidRDefault="00775F7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75F7F" w:rsidRDefault="00775F7F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F7F" w:rsidRDefault="00775F7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C3C69">
      <w:rPr>
        <w:rStyle w:val="PageNumber"/>
        <w:noProof/>
      </w:rPr>
      <w:t>20</w:t>
    </w:r>
    <w:r>
      <w:rPr>
        <w:rStyle w:val="PageNumber"/>
      </w:rPr>
      <w:fldChar w:fldCharType="end"/>
    </w:r>
  </w:p>
  <w:p w:rsidR="00775F7F" w:rsidRDefault="00775F7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08A6" w:rsidRDefault="001708A6">
      <w:r>
        <w:separator/>
      </w:r>
    </w:p>
  </w:footnote>
  <w:footnote w:type="continuationSeparator" w:id="0">
    <w:p w:rsidR="001708A6" w:rsidRDefault="001708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01705"/>
    <w:multiLevelType w:val="hybridMultilevel"/>
    <w:tmpl w:val="34FE7810"/>
    <w:lvl w:ilvl="0" w:tplc="49BAC7C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197019A0"/>
    <w:multiLevelType w:val="hybridMultilevel"/>
    <w:tmpl w:val="2646AB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AA147EB"/>
    <w:multiLevelType w:val="hybridMultilevel"/>
    <w:tmpl w:val="885258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343978"/>
    <w:multiLevelType w:val="hybridMultilevel"/>
    <w:tmpl w:val="E014FF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F471BFF"/>
    <w:multiLevelType w:val="hybridMultilevel"/>
    <w:tmpl w:val="FC46CF1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EF0DB2A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  <w:sz w:val="22"/>
      </w:rPr>
    </w:lvl>
    <w:lvl w:ilvl="3" w:tplc="0409001B">
      <w:start w:val="1"/>
      <w:numFmt w:val="lowerRoman"/>
      <w:lvlText w:val="%4."/>
      <w:lvlJc w:val="right"/>
      <w:pPr>
        <w:tabs>
          <w:tab w:val="num" w:pos="2700"/>
        </w:tabs>
        <w:ind w:left="2700" w:hanging="180"/>
      </w:pPr>
      <w:rPr>
        <w:rFonts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D0671E6"/>
    <w:multiLevelType w:val="hybridMultilevel"/>
    <w:tmpl w:val="555E5B7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19C646D"/>
    <w:multiLevelType w:val="hybridMultilevel"/>
    <w:tmpl w:val="D72A20E0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B6E3C5A"/>
    <w:multiLevelType w:val="hybridMultilevel"/>
    <w:tmpl w:val="2C80B86A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8373B79"/>
    <w:multiLevelType w:val="hybridMultilevel"/>
    <w:tmpl w:val="3F60BBC2"/>
    <w:lvl w:ilvl="0" w:tplc="A1B63522">
      <w:start w:val="12"/>
      <w:numFmt w:val="decimal"/>
      <w:lvlText w:val="%1)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FA2371D"/>
    <w:multiLevelType w:val="hybridMultilevel"/>
    <w:tmpl w:val="385EEE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C387DFF"/>
    <w:multiLevelType w:val="hybridMultilevel"/>
    <w:tmpl w:val="F0800158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5"/>
  </w:num>
  <w:num w:numId="4">
    <w:abstractNumId w:val="0"/>
  </w:num>
  <w:num w:numId="5">
    <w:abstractNumId w:val="7"/>
  </w:num>
  <w:num w:numId="6">
    <w:abstractNumId w:val="6"/>
  </w:num>
  <w:num w:numId="7">
    <w:abstractNumId w:val="10"/>
  </w:num>
  <w:num w:numId="8">
    <w:abstractNumId w:val="4"/>
  </w:num>
  <w:num w:numId="9">
    <w:abstractNumId w:val="8"/>
  </w:num>
  <w:num w:numId="10">
    <w:abstractNumId w:val="2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D81"/>
    <w:rsid w:val="000274B7"/>
    <w:rsid w:val="00053D53"/>
    <w:rsid w:val="00074B39"/>
    <w:rsid w:val="000B1D13"/>
    <w:rsid w:val="000B2A5A"/>
    <w:rsid w:val="000F2B5A"/>
    <w:rsid w:val="00100A36"/>
    <w:rsid w:val="001352B0"/>
    <w:rsid w:val="001708A6"/>
    <w:rsid w:val="0017753C"/>
    <w:rsid w:val="00190300"/>
    <w:rsid w:val="00240DB0"/>
    <w:rsid w:val="0028200C"/>
    <w:rsid w:val="002839A6"/>
    <w:rsid w:val="0030352B"/>
    <w:rsid w:val="003A0608"/>
    <w:rsid w:val="003C3C69"/>
    <w:rsid w:val="003C5CE4"/>
    <w:rsid w:val="003D055D"/>
    <w:rsid w:val="003D60A2"/>
    <w:rsid w:val="004031EA"/>
    <w:rsid w:val="0046153B"/>
    <w:rsid w:val="00474E40"/>
    <w:rsid w:val="004A3220"/>
    <w:rsid w:val="004A7D71"/>
    <w:rsid w:val="004E7D81"/>
    <w:rsid w:val="004F7AF6"/>
    <w:rsid w:val="00512594"/>
    <w:rsid w:val="00512FB3"/>
    <w:rsid w:val="00513248"/>
    <w:rsid w:val="00533CA1"/>
    <w:rsid w:val="00562952"/>
    <w:rsid w:val="0059619E"/>
    <w:rsid w:val="005D7050"/>
    <w:rsid w:val="00632313"/>
    <w:rsid w:val="00633B17"/>
    <w:rsid w:val="00645A72"/>
    <w:rsid w:val="00645C9B"/>
    <w:rsid w:val="00664673"/>
    <w:rsid w:val="0066566E"/>
    <w:rsid w:val="006661B7"/>
    <w:rsid w:val="006770CB"/>
    <w:rsid w:val="006A4888"/>
    <w:rsid w:val="006C78A2"/>
    <w:rsid w:val="00712EBA"/>
    <w:rsid w:val="00724B62"/>
    <w:rsid w:val="00742264"/>
    <w:rsid w:val="00770EA0"/>
    <w:rsid w:val="00775F7F"/>
    <w:rsid w:val="007A55B3"/>
    <w:rsid w:val="007B17D6"/>
    <w:rsid w:val="007C36DB"/>
    <w:rsid w:val="007D5282"/>
    <w:rsid w:val="007D62DF"/>
    <w:rsid w:val="0087698C"/>
    <w:rsid w:val="00882FC0"/>
    <w:rsid w:val="008C1700"/>
    <w:rsid w:val="008C623C"/>
    <w:rsid w:val="008D2E58"/>
    <w:rsid w:val="008E3A4A"/>
    <w:rsid w:val="008F004E"/>
    <w:rsid w:val="00900A2F"/>
    <w:rsid w:val="009650BE"/>
    <w:rsid w:val="00A24DCA"/>
    <w:rsid w:val="00A7406A"/>
    <w:rsid w:val="00A968D5"/>
    <w:rsid w:val="00B27B3A"/>
    <w:rsid w:val="00B32B8E"/>
    <w:rsid w:val="00B428A9"/>
    <w:rsid w:val="00B533C0"/>
    <w:rsid w:val="00B93361"/>
    <w:rsid w:val="00BC7B13"/>
    <w:rsid w:val="00BD37A1"/>
    <w:rsid w:val="00C050C4"/>
    <w:rsid w:val="00C12DE9"/>
    <w:rsid w:val="00C246E2"/>
    <w:rsid w:val="00C330E4"/>
    <w:rsid w:val="00C5639A"/>
    <w:rsid w:val="00C61DAF"/>
    <w:rsid w:val="00C660F9"/>
    <w:rsid w:val="00C80EAC"/>
    <w:rsid w:val="00C949FA"/>
    <w:rsid w:val="00D52A03"/>
    <w:rsid w:val="00D74CFE"/>
    <w:rsid w:val="00D77D35"/>
    <w:rsid w:val="00DA0808"/>
    <w:rsid w:val="00DC10DB"/>
    <w:rsid w:val="00DC18F3"/>
    <w:rsid w:val="00DC6F31"/>
    <w:rsid w:val="00DC6FC2"/>
    <w:rsid w:val="00E16DDB"/>
    <w:rsid w:val="00E56A41"/>
    <w:rsid w:val="00E70FA8"/>
    <w:rsid w:val="00EC615C"/>
    <w:rsid w:val="00F8053B"/>
    <w:rsid w:val="00FA08FA"/>
    <w:rsid w:val="00FA64EA"/>
    <w:rsid w:val="00FC1044"/>
    <w:rsid w:val="00FD5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8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968D5"/>
    <w:pPr>
      <w:keepNext/>
      <w:jc w:val="center"/>
      <w:outlineLvl w:val="0"/>
    </w:pPr>
    <w:rPr>
      <w:sz w:val="40"/>
      <w:lang w:val="sr-Cyrl-CS"/>
    </w:rPr>
  </w:style>
  <w:style w:type="paragraph" w:styleId="Heading2">
    <w:name w:val="heading 2"/>
    <w:basedOn w:val="Normal"/>
    <w:next w:val="Normal"/>
    <w:link w:val="Heading2Char"/>
    <w:qFormat/>
    <w:rsid w:val="00A968D5"/>
    <w:pPr>
      <w:keepNext/>
      <w:jc w:val="center"/>
      <w:outlineLvl w:val="1"/>
    </w:pPr>
    <w:rPr>
      <w:b/>
      <w:bCs/>
      <w:lang w:val="sr-Cyrl-CS"/>
    </w:rPr>
  </w:style>
  <w:style w:type="paragraph" w:styleId="Heading3">
    <w:name w:val="heading 3"/>
    <w:basedOn w:val="Normal"/>
    <w:next w:val="Normal"/>
    <w:link w:val="Heading3Char"/>
    <w:qFormat/>
    <w:rsid w:val="00A968D5"/>
    <w:pPr>
      <w:keepNext/>
      <w:jc w:val="center"/>
      <w:outlineLvl w:val="2"/>
    </w:pPr>
    <w:rPr>
      <w:b/>
      <w:bCs/>
      <w:sz w:val="20"/>
      <w:szCs w:val="20"/>
      <w:lang w:val="sr-Cyrl-CS"/>
    </w:rPr>
  </w:style>
  <w:style w:type="paragraph" w:styleId="Heading4">
    <w:name w:val="heading 4"/>
    <w:basedOn w:val="Normal"/>
    <w:next w:val="Normal"/>
    <w:link w:val="Heading4Char"/>
    <w:qFormat/>
    <w:rsid w:val="00A968D5"/>
    <w:pPr>
      <w:keepNext/>
      <w:jc w:val="center"/>
      <w:outlineLvl w:val="3"/>
    </w:pPr>
    <w:rPr>
      <w:b/>
      <w:bCs/>
      <w:i/>
      <w:iCs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968D5"/>
    <w:rPr>
      <w:rFonts w:ascii="Times New Roman" w:eastAsia="Times New Roman" w:hAnsi="Times New Roman" w:cs="Times New Roman"/>
      <w:sz w:val="40"/>
      <w:szCs w:val="24"/>
      <w:lang w:val="sr-Cyrl-CS"/>
    </w:rPr>
  </w:style>
  <w:style w:type="character" w:customStyle="1" w:styleId="Heading2Char">
    <w:name w:val="Heading 2 Char"/>
    <w:basedOn w:val="DefaultParagraphFont"/>
    <w:link w:val="Heading2"/>
    <w:rsid w:val="00A968D5"/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character" w:customStyle="1" w:styleId="Heading3Char">
    <w:name w:val="Heading 3 Char"/>
    <w:basedOn w:val="DefaultParagraphFont"/>
    <w:link w:val="Heading3"/>
    <w:rsid w:val="00A968D5"/>
    <w:rPr>
      <w:rFonts w:ascii="Times New Roman" w:eastAsia="Times New Roman" w:hAnsi="Times New Roman" w:cs="Times New Roman"/>
      <w:b/>
      <w:bCs/>
      <w:sz w:val="20"/>
      <w:szCs w:val="20"/>
      <w:lang w:val="sr-Cyrl-CS"/>
    </w:rPr>
  </w:style>
  <w:style w:type="character" w:customStyle="1" w:styleId="Heading4Char">
    <w:name w:val="Heading 4 Char"/>
    <w:basedOn w:val="DefaultParagraphFont"/>
    <w:link w:val="Heading4"/>
    <w:rsid w:val="00A968D5"/>
    <w:rPr>
      <w:rFonts w:ascii="Times New Roman" w:eastAsia="Times New Roman" w:hAnsi="Times New Roman" w:cs="Times New Roman"/>
      <w:b/>
      <w:bCs/>
      <w:i/>
      <w:iCs/>
      <w:sz w:val="24"/>
      <w:szCs w:val="24"/>
      <w:lang w:val="sr-Cyrl-CS"/>
    </w:rPr>
  </w:style>
  <w:style w:type="paragraph" w:styleId="BodyText">
    <w:name w:val="Body Text"/>
    <w:basedOn w:val="Normal"/>
    <w:link w:val="BodyTextChar"/>
    <w:rsid w:val="00A968D5"/>
    <w:pPr>
      <w:jc w:val="both"/>
    </w:pPr>
    <w:rPr>
      <w:lang w:val="sr-Cyrl-CS"/>
    </w:rPr>
  </w:style>
  <w:style w:type="character" w:customStyle="1" w:styleId="BodyTextChar">
    <w:name w:val="Body Text Char"/>
    <w:basedOn w:val="DefaultParagraphFont"/>
    <w:link w:val="BodyText"/>
    <w:rsid w:val="00A968D5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BodyTextIndent">
    <w:name w:val="Body Text Indent"/>
    <w:basedOn w:val="Normal"/>
    <w:link w:val="BodyTextIndentChar"/>
    <w:rsid w:val="00A968D5"/>
    <w:pPr>
      <w:ind w:firstLine="720"/>
      <w:jc w:val="both"/>
    </w:pPr>
    <w:rPr>
      <w:lang w:val="sr-Cyrl-CS"/>
    </w:rPr>
  </w:style>
  <w:style w:type="character" w:customStyle="1" w:styleId="BodyTextIndentChar">
    <w:name w:val="Body Text Indent Char"/>
    <w:basedOn w:val="DefaultParagraphFont"/>
    <w:link w:val="BodyTextIndent"/>
    <w:rsid w:val="00A968D5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Footer">
    <w:name w:val="footer"/>
    <w:basedOn w:val="Normal"/>
    <w:link w:val="FooterChar"/>
    <w:rsid w:val="00A968D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A968D5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A968D5"/>
  </w:style>
  <w:style w:type="paragraph" w:styleId="BodyTextIndent2">
    <w:name w:val="Body Text Indent 2"/>
    <w:basedOn w:val="Normal"/>
    <w:link w:val="BodyTextIndent2Char"/>
    <w:rsid w:val="00A968D5"/>
    <w:pPr>
      <w:ind w:firstLine="720"/>
      <w:jc w:val="both"/>
    </w:pPr>
    <w:rPr>
      <w:color w:val="FF0000"/>
      <w:lang w:val="sr-Cyrl-CS"/>
    </w:rPr>
  </w:style>
  <w:style w:type="character" w:customStyle="1" w:styleId="BodyTextIndent2Char">
    <w:name w:val="Body Text Indent 2 Char"/>
    <w:basedOn w:val="DefaultParagraphFont"/>
    <w:link w:val="BodyTextIndent2"/>
    <w:rsid w:val="00A968D5"/>
    <w:rPr>
      <w:rFonts w:ascii="Times New Roman" w:eastAsia="Times New Roman" w:hAnsi="Times New Roman" w:cs="Times New Roman"/>
      <w:color w:val="FF0000"/>
      <w:sz w:val="24"/>
      <w:szCs w:val="24"/>
      <w:lang w:val="sr-Cyrl-CS"/>
    </w:rPr>
  </w:style>
  <w:style w:type="paragraph" w:styleId="BodyText2">
    <w:name w:val="Body Text 2"/>
    <w:basedOn w:val="Normal"/>
    <w:link w:val="BodyText2Char"/>
    <w:rsid w:val="00A968D5"/>
    <w:pPr>
      <w:jc w:val="both"/>
    </w:pPr>
    <w:rPr>
      <w:color w:val="FF0000"/>
      <w:lang w:val="sr-Cyrl-CS"/>
    </w:rPr>
  </w:style>
  <w:style w:type="character" w:customStyle="1" w:styleId="BodyText2Char">
    <w:name w:val="Body Text 2 Char"/>
    <w:basedOn w:val="DefaultParagraphFont"/>
    <w:link w:val="BodyText2"/>
    <w:rsid w:val="00A968D5"/>
    <w:rPr>
      <w:rFonts w:ascii="Times New Roman" w:eastAsia="Times New Roman" w:hAnsi="Times New Roman" w:cs="Times New Roman"/>
      <w:color w:val="FF0000"/>
      <w:sz w:val="24"/>
      <w:szCs w:val="24"/>
      <w:lang w:val="sr-Cyrl-CS"/>
    </w:rPr>
  </w:style>
  <w:style w:type="paragraph" w:styleId="BodyTextIndent3">
    <w:name w:val="Body Text Indent 3"/>
    <w:basedOn w:val="Normal"/>
    <w:link w:val="BodyTextIndent3Char"/>
    <w:rsid w:val="00A968D5"/>
    <w:pPr>
      <w:ind w:firstLine="720"/>
      <w:jc w:val="both"/>
    </w:pPr>
    <w:rPr>
      <w:i/>
      <w:iCs/>
      <w:lang w:val="sr-Cyrl-CS"/>
    </w:rPr>
  </w:style>
  <w:style w:type="character" w:customStyle="1" w:styleId="BodyTextIndent3Char">
    <w:name w:val="Body Text Indent 3 Char"/>
    <w:basedOn w:val="DefaultParagraphFont"/>
    <w:link w:val="BodyTextIndent3"/>
    <w:rsid w:val="00A968D5"/>
    <w:rPr>
      <w:rFonts w:ascii="Times New Roman" w:eastAsia="Times New Roman" w:hAnsi="Times New Roman" w:cs="Times New Roman"/>
      <w:i/>
      <w:iCs/>
      <w:sz w:val="24"/>
      <w:szCs w:val="24"/>
      <w:lang w:val="sr-Cyrl-CS"/>
    </w:rPr>
  </w:style>
  <w:style w:type="table" w:styleId="TableGrid">
    <w:name w:val="Table Grid"/>
    <w:basedOn w:val="TableNormal"/>
    <w:rsid w:val="00A968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yleProfilCharRedChar">
    <w:name w:val="Style Profil Char + Red Char"/>
    <w:rsid w:val="00A968D5"/>
    <w:rPr>
      <w:rFonts w:ascii="Arial" w:hAnsi="Arial" w:cs="Arial"/>
      <w:caps/>
      <w:sz w:val="16"/>
      <w:szCs w:val="16"/>
      <w:lang w:val="hr-HR" w:eastAsia="sr-Latn-CS" w:bidi="ar-SA"/>
    </w:rPr>
  </w:style>
  <w:style w:type="character" w:customStyle="1" w:styleId="SkolaChar">
    <w:name w:val="Skola Char"/>
    <w:rsid w:val="00A968D5"/>
    <w:rPr>
      <w:rFonts w:ascii="Arial" w:hAnsi="Arial"/>
      <w:b/>
      <w:noProof w:val="0"/>
      <w:sz w:val="22"/>
      <w:szCs w:val="22"/>
      <w:lang w:val="en-US" w:eastAsia="en-US" w:bidi="ar-SA"/>
    </w:rPr>
  </w:style>
  <w:style w:type="character" w:customStyle="1" w:styleId="StyleProfilCharCharRed">
    <w:name w:val="Style Profil Char Char + Red"/>
    <w:rsid w:val="00A968D5"/>
    <w:rPr>
      <w:rFonts w:ascii="Arial" w:hAnsi="Arial" w:cs="Arial"/>
      <w:caps/>
      <w:color w:val="auto"/>
      <w:sz w:val="16"/>
      <w:szCs w:val="16"/>
      <w:lang w:val="hr-HR" w:eastAsia="sr-Latn-CS" w:bidi="ar-SA"/>
    </w:rPr>
  </w:style>
  <w:style w:type="paragraph" w:customStyle="1" w:styleId="MAARSKI">
    <w:name w:val="MAĐARSKI"/>
    <w:basedOn w:val="Normal"/>
    <w:rsid w:val="00A968D5"/>
    <w:pPr>
      <w:widowControl w:val="0"/>
      <w:tabs>
        <w:tab w:val="left" w:pos="566"/>
        <w:tab w:val="left" w:pos="2552"/>
        <w:tab w:val="right" w:pos="8505"/>
        <w:tab w:val="left" w:pos="9072"/>
        <w:tab w:val="left" w:pos="9639"/>
      </w:tabs>
      <w:autoSpaceDE w:val="0"/>
      <w:autoSpaceDN w:val="0"/>
      <w:adjustRightInd w:val="0"/>
    </w:pPr>
    <w:rPr>
      <w:rFonts w:ascii="Arial" w:hAnsi="Arial"/>
      <w:caps/>
      <w:sz w:val="16"/>
      <w:szCs w:val="16"/>
      <w:lang w:val="sr-Cyrl-CS"/>
    </w:rPr>
  </w:style>
  <w:style w:type="paragraph" w:customStyle="1" w:styleId="StyleSkolaFirstline075cm">
    <w:name w:val="Style Skola + First line:  075 cm"/>
    <w:basedOn w:val="Normal"/>
    <w:rsid w:val="00A968D5"/>
    <w:pPr>
      <w:keepNext/>
      <w:widowControl w:val="0"/>
      <w:tabs>
        <w:tab w:val="left" w:pos="401"/>
        <w:tab w:val="left" w:pos="720"/>
      </w:tabs>
      <w:autoSpaceDE w:val="0"/>
      <w:autoSpaceDN w:val="0"/>
      <w:adjustRightInd w:val="0"/>
      <w:spacing w:before="120"/>
      <w:ind w:firstLine="425"/>
    </w:pPr>
    <w:rPr>
      <w:rFonts w:ascii="Arial" w:hAnsi="Arial"/>
      <w:b/>
      <w:bCs/>
      <w:sz w:val="22"/>
      <w:szCs w:val="20"/>
    </w:rPr>
  </w:style>
  <w:style w:type="paragraph" w:customStyle="1" w:styleId="Skola">
    <w:name w:val="Skola"/>
    <w:basedOn w:val="Normal"/>
    <w:rsid w:val="00A968D5"/>
    <w:pPr>
      <w:keepNext/>
      <w:widowControl w:val="0"/>
      <w:tabs>
        <w:tab w:val="left" w:pos="401"/>
        <w:tab w:val="left" w:pos="720"/>
      </w:tabs>
      <w:autoSpaceDE w:val="0"/>
      <w:autoSpaceDN w:val="0"/>
      <w:adjustRightInd w:val="0"/>
      <w:spacing w:before="120"/>
    </w:pPr>
    <w:rPr>
      <w:rFonts w:ascii="Arial" w:hAnsi="Arial"/>
      <w:b/>
      <w:sz w:val="22"/>
      <w:szCs w:val="22"/>
    </w:rPr>
  </w:style>
  <w:style w:type="character" w:customStyle="1" w:styleId="Style8ptRed">
    <w:name w:val="Style 8 pt Red"/>
    <w:rsid w:val="00A968D5"/>
    <w:rPr>
      <w:color w:val="auto"/>
      <w:sz w:val="16"/>
      <w:szCs w:val="16"/>
    </w:rPr>
  </w:style>
  <w:style w:type="character" w:customStyle="1" w:styleId="StyleProfilCharBlueChar">
    <w:name w:val="Style Profil Char + Blue Char"/>
    <w:rsid w:val="00A968D5"/>
    <w:rPr>
      <w:rFonts w:ascii="Arial" w:hAnsi="Arial" w:cs="Arial"/>
      <w:caps/>
      <w:sz w:val="16"/>
      <w:szCs w:val="16"/>
      <w:lang w:val="hr-HR" w:eastAsia="sr-Latn-CS" w:bidi="ar-SA"/>
    </w:rPr>
  </w:style>
  <w:style w:type="character" w:customStyle="1" w:styleId="StyleSkolaCharBlue">
    <w:name w:val="Style Skola Char + Blue"/>
    <w:rsid w:val="00A968D5"/>
    <w:rPr>
      <w:rFonts w:ascii="Arial" w:hAnsi="Arial"/>
      <w:b/>
      <w:bCs/>
      <w:noProof w:val="0"/>
      <w:color w:val="auto"/>
      <w:sz w:val="22"/>
      <w:szCs w:val="22"/>
      <w:lang w:val="en-US" w:eastAsia="en-US" w:bidi="ar-SA"/>
    </w:rPr>
  </w:style>
  <w:style w:type="paragraph" w:styleId="Header">
    <w:name w:val="header"/>
    <w:basedOn w:val="Normal"/>
    <w:link w:val="HeaderChar"/>
    <w:rsid w:val="00A968D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A968D5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rsid w:val="00A968D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968D5"/>
    <w:rPr>
      <w:rFonts w:ascii="Tahoma" w:eastAsia="Times New Roman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A968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rsid w:val="00A968D5"/>
    <w:rPr>
      <w:sz w:val="16"/>
      <w:szCs w:val="16"/>
    </w:rPr>
  </w:style>
  <w:style w:type="paragraph" w:styleId="CommentText">
    <w:name w:val="annotation text"/>
    <w:basedOn w:val="Normal"/>
    <w:link w:val="CommentTextChar"/>
    <w:rsid w:val="00A968D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968D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A968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968D5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Strong">
    <w:name w:val="Strong"/>
    <w:uiPriority w:val="22"/>
    <w:qFormat/>
    <w:rsid w:val="00A968D5"/>
    <w:rPr>
      <w:b/>
      <w:bCs/>
    </w:rPr>
  </w:style>
  <w:style w:type="paragraph" w:styleId="ListParagraph">
    <w:name w:val="List Paragraph"/>
    <w:basedOn w:val="Normal"/>
    <w:uiPriority w:val="34"/>
    <w:qFormat/>
    <w:rsid w:val="00A968D5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8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968D5"/>
    <w:pPr>
      <w:keepNext/>
      <w:jc w:val="center"/>
      <w:outlineLvl w:val="0"/>
    </w:pPr>
    <w:rPr>
      <w:sz w:val="40"/>
      <w:lang w:val="sr-Cyrl-CS"/>
    </w:rPr>
  </w:style>
  <w:style w:type="paragraph" w:styleId="Heading2">
    <w:name w:val="heading 2"/>
    <w:basedOn w:val="Normal"/>
    <w:next w:val="Normal"/>
    <w:link w:val="Heading2Char"/>
    <w:qFormat/>
    <w:rsid w:val="00A968D5"/>
    <w:pPr>
      <w:keepNext/>
      <w:jc w:val="center"/>
      <w:outlineLvl w:val="1"/>
    </w:pPr>
    <w:rPr>
      <w:b/>
      <w:bCs/>
      <w:lang w:val="sr-Cyrl-CS"/>
    </w:rPr>
  </w:style>
  <w:style w:type="paragraph" w:styleId="Heading3">
    <w:name w:val="heading 3"/>
    <w:basedOn w:val="Normal"/>
    <w:next w:val="Normal"/>
    <w:link w:val="Heading3Char"/>
    <w:qFormat/>
    <w:rsid w:val="00A968D5"/>
    <w:pPr>
      <w:keepNext/>
      <w:jc w:val="center"/>
      <w:outlineLvl w:val="2"/>
    </w:pPr>
    <w:rPr>
      <w:b/>
      <w:bCs/>
      <w:sz w:val="20"/>
      <w:szCs w:val="20"/>
      <w:lang w:val="sr-Cyrl-CS"/>
    </w:rPr>
  </w:style>
  <w:style w:type="paragraph" w:styleId="Heading4">
    <w:name w:val="heading 4"/>
    <w:basedOn w:val="Normal"/>
    <w:next w:val="Normal"/>
    <w:link w:val="Heading4Char"/>
    <w:qFormat/>
    <w:rsid w:val="00A968D5"/>
    <w:pPr>
      <w:keepNext/>
      <w:jc w:val="center"/>
      <w:outlineLvl w:val="3"/>
    </w:pPr>
    <w:rPr>
      <w:b/>
      <w:bCs/>
      <w:i/>
      <w:iCs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968D5"/>
    <w:rPr>
      <w:rFonts w:ascii="Times New Roman" w:eastAsia="Times New Roman" w:hAnsi="Times New Roman" w:cs="Times New Roman"/>
      <w:sz w:val="40"/>
      <w:szCs w:val="24"/>
      <w:lang w:val="sr-Cyrl-CS"/>
    </w:rPr>
  </w:style>
  <w:style w:type="character" w:customStyle="1" w:styleId="Heading2Char">
    <w:name w:val="Heading 2 Char"/>
    <w:basedOn w:val="DefaultParagraphFont"/>
    <w:link w:val="Heading2"/>
    <w:rsid w:val="00A968D5"/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character" w:customStyle="1" w:styleId="Heading3Char">
    <w:name w:val="Heading 3 Char"/>
    <w:basedOn w:val="DefaultParagraphFont"/>
    <w:link w:val="Heading3"/>
    <w:rsid w:val="00A968D5"/>
    <w:rPr>
      <w:rFonts w:ascii="Times New Roman" w:eastAsia="Times New Roman" w:hAnsi="Times New Roman" w:cs="Times New Roman"/>
      <w:b/>
      <w:bCs/>
      <w:sz w:val="20"/>
      <w:szCs w:val="20"/>
      <w:lang w:val="sr-Cyrl-CS"/>
    </w:rPr>
  </w:style>
  <w:style w:type="character" w:customStyle="1" w:styleId="Heading4Char">
    <w:name w:val="Heading 4 Char"/>
    <w:basedOn w:val="DefaultParagraphFont"/>
    <w:link w:val="Heading4"/>
    <w:rsid w:val="00A968D5"/>
    <w:rPr>
      <w:rFonts w:ascii="Times New Roman" w:eastAsia="Times New Roman" w:hAnsi="Times New Roman" w:cs="Times New Roman"/>
      <w:b/>
      <w:bCs/>
      <w:i/>
      <w:iCs/>
      <w:sz w:val="24"/>
      <w:szCs w:val="24"/>
      <w:lang w:val="sr-Cyrl-CS"/>
    </w:rPr>
  </w:style>
  <w:style w:type="paragraph" w:styleId="BodyText">
    <w:name w:val="Body Text"/>
    <w:basedOn w:val="Normal"/>
    <w:link w:val="BodyTextChar"/>
    <w:rsid w:val="00A968D5"/>
    <w:pPr>
      <w:jc w:val="both"/>
    </w:pPr>
    <w:rPr>
      <w:lang w:val="sr-Cyrl-CS"/>
    </w:rPr>
  </w:style>
  <w:style w:type="character" w:customStyle="1" w:styleId="BodyTextChar">
    <w:name w:val="Body Text Char"/>
    <w:basedOn w:val="DefaultParagraphFont"/>
    <w:link w:val="BodyText"/>
    <w:rsid w:val="00A968D5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BodyTextIndent">
    <w:name w:val="Body Text Indent"/>
    <w:basedOn w:val="Normal"/>
    <w:link w:val="BodyTextIndentChar"/>
    <w:rsid w:val="00A968D5"/>
    <w:pPr>
      <w:ind w:firstLine="720"/>
      <w:jc w:val="both"/>
    </w:pPr>
    <w:rPr>
      <w:lang w:val="sr-Cyrl-CS"/>
    </w:rPr>
  </w:style>
  <w:style w:type="character" w:customStyle="1" w:styleId="BodyTextIndentChar">
    <w:name w:val="Body Text Indent Char"/>
    <w:basedOn w:val="DefaultParagraphFont"/>
    <w:link w:val="BodyTextIndent"/>
    <w:rsid w:val="00A968D5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Footer">
    <w:name w:val="footer"/>
    <w:basedOn w:val="Normal"/>
    <w:link w:val="FooterChar"/>
    <w:rsid w:val="00A968D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A968D5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A968D5"/>
  </w:style>
  <w:style w:type="paragraph" w:styleId="BodyTextIndent2">
    <w:name w:val="Body Text Indent 2"/>
    <w:basedOn w:val="Normal"/>
    <w:link w:val="BodyTextIndent2Char"/>
    <w:rsid w:val="00A968D5"/>
    <w:pPr>
      <w:ind w:firstLine="720"/>
      <w:jc w:val="both"/>
    </w:pPr>
    <w:rPr>
      <w:color w:val="FF0000"/>
      <w:lang w:val="sr-Cyrl-CS"/>
    </w:rPr>
  </w:style>
  <w:style w:type="character" w:customStyle="1" w:styleId="BodyTextIndent2Char">
    <w:name w:val="Body Text Indent 2 Char"/>
    <w:basedOn w:val="DefaultParagraphFont"/>
    <w:link w:val="BodyTextIndent2"/>
    <w:rsid w:val="00A968D5"/>
    <w:rPr>
      <w:rFonts w:ascii="Times New Roman" w:eastAsia="Times New Roman" w:hAnsi="Times New Roman" w:cs="Times New Roman"/>
      <w:color w:val="FF0000"/>
      <w:sz w:val="24"/>
      <w:szCs w:val="24"/>
      <w:lang w:val="sr-Cyrl-CS"/>
    </w:rPr>
  </w:style>
  <w:style w:type="paragraph" w:styleId="BodyText2">
    <w:name w:val="Body Text 2"/>
    <w:basedOn w:val="Normal"/>
    <w:link w:val="BodyText2Char"/>
    <w:rsid w:val="00A968D5"/>
    <w:pPr>
      <w:jc w:val="both"/>
    </w:pPr>
    <w:rPr>
      <w:color w:val="FF0000"/>
      <w:lang w:val="sr-Cyrl-CS"/>
    </w:rPr>
  </w:style>
  <w:style w:type="character" w:customStyle="1" w:styleId="BodyText2Char">
    <w:name w:val="Body Text 2 Char"/>
    <w:basedOn w:val="DefaultParagraphFont"/>
    <w:link w:val="BodyText2"/>
    <w:rsid w:val="00A968D5"/>
    <w:rPr>
      <w:rFonts w:ascii="Times New Roman" w:eastAsia="Times New Roman" w:hAnsi="Times New Roman" w:cs="Times New Roman"/>
      <w:color w:val="FF0000"/>
      <w:sz w:val="24"/>
      <w:szCs w:val="24"/>
      <w:lang w:val="sr-Cyrl-CS"/>
    </w:rPr>
  </w:style>
  <w:style w:type="paragraph" w:styleId="BodyTextIndent3">
    <w:name w:val="Body Text Indent 3"/>
    <w:basedOn w:val="Normal"/>
    <w:link w:val="BodyTextIndent3Char"/>
    <w:rsid w:val="00A968D5"/>
    <w:pPr>
      <w:ind w:firstLine="720"/>
      <w:jc w:val="both"/>
    </w:pPr>
    <w:rPr>
      <w:i/>
      <w:iCs/>
      <w:lang w:val="sr-Cyrl-CS"/>
    </w:rPr>
  </w:style>
  <w:style w:type="character" w:customStyle="1" w:styleId="BodyTextIndent3Char">
    <w:name w:val="Body Text Indent 3 Char"/>
    <w:basedOn w:val="DefaultParagraphFont"/>
    <w:link w:val="BodyTextIndent3"/>
    <w:rsid w:val="00A968D5"/>
    <w:rPr>
      <w:rFonts w:ascii="Times New Roman" w:eastAsia="Times New Roman" w:hAnsi="Times New Roman" w:cs="Times New Roman"/>
      <w:i/>
      <w:iCs/>
      <w:sz w:val="24"/>
      <w:szCs w:val="24"/>
      <w:lang w:val="sr-Cyrl-CS"/>
    </w:rPr>
  </w:style>
  <w:style w:type="table" w:styleId="TableGrid">
    <w:name w:val="Table Grid"/>
    <w:basedOn w:val="TableNormal"/>
    <w:rsid w:val="00A968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yleProfilCharRedChar">
    <w:name w:val="Style Profil Char + Red Char"/>
    <w:rsid w:val="00A968D5"/>
    <w:rPr>
      <w:rFonts w:ascii="Arial" w:hAnsi="Arial" w:cs="Arial"/>
      <w:caps/>
      <w:sz w:val="16"/>
      <w:szCs w:val="16"/>
      <w:lang w:val="hr-HR" w:eastAsia="sr-Latn-CS" w:bidi="ar-SA"/>
    </w:rPr>
  </w:style>
  <w:style w:type="character" w:customStyle="1" w:styleId="SkolaChar">
    <w:name w:val="Skola Char"/>
    <w:rsid w:val="00A968D5"/>
    <w:rPr>
      <w:rFonts w:ascii="Arial" w:hAnsi="Arial"/>
      <w:b/>
      <w:noProof w:val="0"/>
      <w:sz w:val="22"/>
      <w:szCs w:val="22"/>
      <w:lang w:val="en-US" w:eastAsia="en-US" w:bidi="ar-SA"/>
    </w:rPr>
  </w:style>
  <w:style w:type="character" w:customStyle="1" w:styleId="StyleProfilCharCharRed">
    <w:name w:val="Style Profil Char Char + Red"/>
    <w:rsid w:val="00A968D5"/>
    <w:rPr>
      <w:rFonts w:ascii="Arial" w:hAnsi="Arial" w:cs="Arial"/>
      <w:caps/>
      <w:color w:val="auto"/>
      <w:sz w:val="16"/>
      <w:szCs w:val="16"/>
      <w:lang w:val="hr-HR" w:eastAsia="sr-Latn-CS" w:bidi="ar-SA"/>
    </w:rPr>
  </w:style>
  <w:style w:type="paragraph" w:customStyle="1" w:styleId="MAARSKI">
    <w:name w:val="MAĐARSKI"/>
    <w:basedOn w:val="Normal"/>
    <w:rsid w:val="00A968D5"/>
    <w:pPr>
      <w:widowControl w:val="0"/>
      <w:tabs>
        <w:tab w:val="left" w:pos="566"/>
        <w:tab w:val="left" w:pos="2552"/>
        <w:tab w:val="right" w:pos="8505"/>
        <w:tab w:val="left" w:pos="9072"/>
        <w:tab w:val="left" w:pos="9639"/>
      </w:tabs>
      <w:autoSpaceDE w:val="0"/>
      <w:autoSpaceDN w:val="0"/>
      <w:adjustRightInd w:val="0"/>
    </w:pPr>
    <w:rPr>
      <w:rFonts w:ascii="Arial" w:hAnsi="Arial"/>
      <w:caps/>
      <w:sz w:val="16"/>
      <w:szCs w:val="16"/>
      <w:lang w:val="sr-Cyrl-CS"/>
    </w:rPr>
  </w:style>
  <w:style w:type="paragraph" w:customStyle="1" w:styleId="StyleSkolaFirstline075cm">
    <w:name w:val="Style Skola + First line:  075 cm"/>
    <w:basedOn w:val="Normal"/>
    <w:rsid w:val="00A968D5"/>
    <w:pPr>
      <w:keepNext/>
      <w:widowControl w:val="0"/>
      <w:tabs>
        <w:tab w:val="left" w:pos="401"/>
        <w:tab w:val="left" w:pos="720"/>
      </w:tabs>
      <w:autoSpaceDE w:val="0"/>
      <w:autoSpaceDN w:val="0"/>
      <w:adjustRightInd w:val="0"/>
      <w:spacing w:before="120"/>
      <w:ind w:firstLine="425"/>
    </w:pPr>
    <w:rPr>
      <w:rFonts w:ascii="Arial" w:hAnsi="Arial"/>
      <w:b/>
      <w:bCs/>
      <w:sz w:val="22"/>
      <w:szCs w:val="20"/>
    </w:rPr>
  </w:style>
  <w:style w:type="paragraph" w:customStyle="1" w:styleId="Skola">
    <w:name w:val="Skola"/>
    <w:basedOn w:val="Normal"/>
    <w:rsid w:val="00A968D5"/>
    <w:pPr>
      <w:keepNext/>
      <w:widowControl w:val="0"/>
      <w:tabs>
        <w:tab w:val="left" w:pos="401"/>
        <w:tab w:val="left" w:pos="720"/>
      </w:tabs>
      <w:autoSpaceDE w:val="0"/>
      <w:autoSpaceDN w:val="0"/>
      <w:adjustRightInd w:val="0"/>
      <w:spacing w:before="120"/>
    </w:pPr>
    <w:rPr>
      <w:rFonts w:ascii="Arial" w:hAnsi="Arial"/>
      <w:b/>
      <w:sz w:val="22"/>
      <w:szCs w:val="22"/>
    </w:rPr>
  </w:style>
  <w:style w:type="character" w:customStyle="1" w:styleId="Style8ptRed">
    <w:name w:val="Style 8 pt Red"/>
    <w:rsid w:val="00A968D5"/>
    <w:rPr>
      <w:color w:val="auto"/>
      <w:sz w:val="16"/>
      <w:szCs w:val="16"/>
    </w:rPr>
  </w:style>
  <w:style w:type="character" w:customStyle="1" w:styleId="StyleProfilCharBlueChar">
    <w:name w:val="Style Profil Char + Blue Char"/>
    <w:rsid w:val="00A968D5"/>
    <w:rPr>
      <w:rFonts w:ascii="Arial" w:hAnsi="Arial" w:cs="Arial"/>
      <w:caps/>
      <w:sz w:val="16"/>
      <w:szCs w:val="16"/>
      <w:lang w:val="hr-HR" w:eastAsia="sr-Latn-CS" w:bidi="ar-SA"/>
    </w:rPr>
  </w:style>
  <w:style w:type="character" w:customStyle="1" w:styleId="StyleSkolaCharBlue">
    <w:name w:val="Style Skola Char + Blue"/>
    <w:rsid w:val="00A968D5"/>
    <w:rPr>
      <w:rFonts w:ascii="Arial" w:hAnsi="Arial"/>
      <w:b/>
      <w:bCs/>
      <w:noProof w:val="0"/>
      <w:color w:val="auto"/>
      <w:sz w:val="22"/>
      <w:szCs w:val="22"/>
      <w:lang w:val="en-US" w:eastAsia="en-US" w:bidi="ar-SA"/>
    </w:rPr>
  </w:style>
  <w:style w:type="paragraph" w:styleId="Header">
    <w:name w:val="header"/>
    <w:basedOn w:val="Normal"/>
    <w:link w:val="HeaderChar"/>
    <w:rsid w:val="00A968D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A968D5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rsid w:val="00A968D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968D5"/>
    <w:rPr>
      <w:rFonts w:ascii="Tahoma" w:eastAsia="Times New Roman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A968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rsid w:val="00A968D5"/>
    <w:rPr>
      <w:sz w:val="16"/>
      <w:szCs w:val="16"/>
    </w:rPr>
  </w:style>
  <w:style w:type="paragraph" w:styleId="CommentText">
    <w:name w:val="annotation text"/>
    <w:basedOn w:val="Normal"/>
    <w:link w:val="CommentTextChar"/>
    <w:rsid w:val="00A968D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968D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A968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968D5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Strong">
    <w:name w:val="Strong"/>
    <w:uiPriority w:val="22"/>
    <w:qFormat/>
    <w:rsid w:val="00A968D5"/>
    <w:rPr>
      <w:b/>
      <w:bCs/>
    </w:rPr>
  </w:style>
  <w:style w:type="paragraph" w:styleId="ListParagraph">
    <w:name w:val="List Paragraph"/>
    <w:basedOn w:val="Normal"/>
    <w:uiPriority w:val="34"/>
    <w:qFormat/>
    <w:rsid w:val="00A968D5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chart" Target="charts/chart8.xml"/><Relationship Id="rId10" Type="http://schemas.openxmlformats.org/officeDocument/2006/relationships/chart" Target="charts/chart3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8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85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1.7274472168905951E-2"/>
          <c:y val="2.4324324324324326E-2"/>
          <c:w val="0.79462571976967367"/>
          <c:h val="0.82702702702702702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број осмака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1.0930526935919557E-2"/>
                  <c:y val="-2.68995717640558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5.4439538465089806E-3"/>
                  <c:y val="-3.477947155609825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1261525662144764E-2"/>
                  <c:y val="-1.152381059053257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9.6135264504257772E-3"/>
                  <c:y val="-1.93684882561799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9.6729408764261934E-3"/>
                  <c:y val="-6.474912542048917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399">
                <a:noFill/>
              </a:ln>
            </c:spPr>
            <c:txPr>
              <a:bodyPr/>
              <a:lstStyle/>
              <a:p>
                <a:pPr>
                  <a:defRPr sz="1475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Sheet1!$B$1:$F$1</c:f>
              <c:strCache>
                <c:ptCount val="5"/>
                <c:pt idx="0">
                  <c:v>мађарски језик</c:v>
                </c:pt>
                <c:pt idx="1">
                  <c:v>словачки језик</c:v>
                </c:pt>
                <c:pt idx="2">
                  <c:v>румунски језик</c:v>
                </c:pt>
                <c:pt idx="3">
                  <c:v>русински језик</c:v>
                </c:pt>
                <c:pt idx="4">
                  <c:v>хрватски језик</c:v>
                </c:pt>
              </c:strCache>
            </c:strRef>
          </c:cat>
          <c:val>
            <c:numRef>
              <c:f>Sheet1!$B$2:$F$2</c:f>
              <c:numCache>
                <c:formatCode>General</c:formatCode>
                <c:ptCount val="5"/>
                <c:pt idx="0">
                  <c:v>1722</c:v>
                </c:pt>
                <c:pt idx="1">
                  <c:v>343</c:v>
                </c:pt>
                <c:pt idx="2">
                  <c:v>155</c:v>
                </c:pt>
                <c:pt idx="3">
                  <c:v>56</c:v>
                </c:pt>
                <c:pt idx="4">
                  <c:v>48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број ученика који су наставили школовање на матерњем језику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6.8528991647387752E-2"/>
                  <c:y val="-4.285404509358094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2.8493474220165262E-2"/>
                  <c:y val="-1.307520450413121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9168129537664488E-2"/>
                  <c:y val="-6.38634573238800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2.1146929760209952E-2"/>
                  <c:y val="2.784228073908939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2.120634418621048E-2"/>
                  <c:y val="-7.27253652326179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399">
                <a:noFill/>
              </a:ln>
            </c:spPr>
            <c:txPr>
              <a:bodyPr/>
              <a:lstStyle/>
              <a:p>
                <a:pPr>
                  <a:defRPr sz="1475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Sheet1!$B$1:$F$1</c:f>
              <c:strCache>
                <c:ptCount val="5"/>
                <c:pt idx="0">
                  <c:v>мађарски језик</c:v>
                </c:pt>
                <c:pt idx="1">
                  <c:v>словачки језик</c:v>
                </c:pt>
                <c:pt idx="2">
                  <c:v>румунски језик</c:v>
                </c:pt>
                <c:pt idx="3">
                  <c:v>русински језик</c:v>
                </c:pt>
                <c:pt idx="4">
                  <c:v>хрватски језик</c:v>
                </c:pt>
              </c:strCache>
            </c:strRef>
          </c:cat>
          <c:val>
            <c:numRef>
              <c:f>Sheet1!$B$3:$F$3</c:f>
              <c:numCache>
                <c:formatCode>General</c:formatCode>
                <c:ptCount val="5"/>
                <c:pt idx="0">
                  <c:v>1544</c:v>
                </c:pt>
                <c:pt idx="1">
                  <c:v>103</c:v>
                </c:pt>
                <c:pt idx="2">
                  <c:v>57</c:v>
                </c:pt>
                <c:pt idx="3">
                  <c:v>13</c:v>
                </c:pt>
                <c:pt idx="4">
                  <c:v>34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gapDepth val="0"/>
        <c:shape val="box"/>
        <c:axId val="39962880"/>
        <c:axId val="39985152"/>
        <c:axId val="0"/>
      </c:bar3DChart>
      <c:catAx>
        <c:axId val="3996288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5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39985152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39985152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39962880"/>
        <c:crosses val="autoZero"/>
        <c:crossBetween val="between"/>
      </c:valAx>
      <c:spPr>
        <a:noFill/>
        <a:ln w="25399">
          <a:noFill/>
        </a:ln>
      </c:spPr>
    </c:plotArea>
    <c:legend>
      <c:legendPos val="r"/>
      <c:layout>
        <c:manualLayout>
          <c:xMode val="edge"/>
          <c:yMode val="edge"/>
          <c:x val="0.77159309021113243"/>
          <c:y val="4.3243243243243246E-2"/>
          <c:w val="0.22840690978886757"/>
          <c:h val="0.70270270270270274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1010" b="1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en-US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500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en-US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98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r>
              <a:rPr lang="sr-Cyrl-RS"/>
              <a:t>Преглед броја уписаних ученика у први разред средње школе по школским годинама</a:t>
            </a:r>
          </a:p>
        </c:rich>
      </c:tx>
      <c:layout>
        <c:manualLayout>
          <c:xMode val="edge"/>
          <c:yMode val="edge"/>
          <c:x val="0.11187607573149742"/>
          <c:y val="2.0833333333333332E-2"/>
        </c:manualLayout>
      </c:layout>
      <c:overlay val="0"/>
      <c:spPr>
        <a:noFill/>
        <a:ln w="25357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7.0567986230636828E-2"/>
          <c:y val="0.19791666666666666"/>
          <c:w val="0.64070910627696964"/>
          <c:h val="0.63020833333333337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Број уписаних ученика</c:v>
                </c:pt>
              </c:strCache>
            </c:strRef>
          </c:tx>
          <c:spPr>
            <a:ln w="12678">
              <a:solidFill>
                <a:srgbClr val="00008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4.8648845482021502E-2"/>
                  <c:y val="-3.9115064217861054E-2"/>
                </c:manualLayout>
              </c:layout>
              <c:spPr>
                <a:noFill/>
                <a:ln w="25357">
                  <a:noFill/>
                </a:ln>
              </c:spPr>
              <c:txPr>
                <a:bodyPr/>
                <a:lstStyle/>
                <a:p>
                  <a:pPr>
                    <a:defRPr sz="1198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1.1471569525322517E-2"/>
                  <c:y val="-3.8941583563158667E-2"/>
                </c:manualLayout>
              </c:layout>
              <c:spPr>
                <a:noFill/>
                <a:ln w="25357">
                  <a:noFill/>
                </a:ln>
              </c:spPr>
              <c:txPr>
                <a:bodyPr/>
                <a:lstStyle/>
                <a:p>
                  <a:pPr>
                    <a:defRPr sz="1198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6093208892077973E-3"/>
                  <c:y val="-4.2840366321595567E-2"/>
                </c:manualLayout>
              </c:layout>
              <c:spPr>
                <a:noFill/>
                <a:ln w="25357">
                  <a:noFill/>
                </a:ln>
              </c:spPr>
              <c:txPr>
                <a:bodyPr/>
                <a:lstStyle/>
                <a:p>
                  <a:pPr>
                    <a:defRPr sz="1198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1.6290855821907244E-2"/>
                  <c:y val="-7.9665608304355359E-2"/>
                </c:manualLayout>
              </c:layout>
              <c:spPr>
                <a:noFill/>
                <a:ln w="25357">
                  <a:noFill/>
                </a:ln>
              </c:spPr>
              <c:txPr>
                <a:bodyPr/>
                <a:lstStyle/>
                <a:p>
                  <a:pPr>
                    <a:defRPr sz="1198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5.1402736491714326E-2"/>
                  <c:y val="-5.4796438040422592E-2"/>
                </c:manualLayout>
              </c:layout>
              <c:spPr>
                <a:noFill/>
                <a:ln w="25357">
                  <a:noFill/>
                </a:ln>
              </c:spPr>
              <c:txPr>
                <a:bodyPr/>
                <a:lstStyle/>
                <a:p>
                  <a:pPr>
                    <a:defRPr sz="1198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357">
                <a:noFill/>
              </a:ln>
            </c:spPr>
            <c:txPr>
              <a:bodyPr/>
              <a:lstStyle/>
              <a:p>
                <a:pPr>
                  <a:defRPr sz="1672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Sheet1!$B$1:$F$1</c:f>
              <c:strCache>
                <c:ptCount val="5"/>
                <c:pt idx="0">
                  <c:v>2010/2011</c:v>
                </c:pt>
                <c:pt idx="1">
                  <c:v>2011/2012</c:v>
                </c:pt>
                <c:pt idx="2">
                  <c:v>2012/2013</c:v>
                </c:pt>
                <c:pt idx="3">
                  <c:v>2013/2014</c:v>
                </c:pt>
                <c:pt idx="4">
                  <c:v>2014/2015</c:v>
                </c:pt>
              </c:strCache>
            </c:strRef>
          </c:cat>
          <c:val>
            <c:numRef>
              <c:f>Sheet1!$B$2:$F$2</c:f>
              <c:numCache>
                <c:formatCode>General</c:formatCode>
                <c:ptCount val="5"/>
                <c:pt idx="0">
                  <c:v>20934</c:v>
                </c:pt>
                <c:pt idx="1">
                  <c:v>19994</c:v>
                </c:pt>
                <c:pt idx="2">
                  <c:v>19961</c:v>
                </c:pt>
                <c:pt idx="3">
                  <c:v>17605</c:v>
                </c:pt>
                <c:pt idx="4">
                  <c:v>16733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41277312"/>
        <c:axId val="88608768"/>
      </c:lineChart>
      <c:catAx>
        <c:axId val="41277312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198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sr-Cyrl-RS"/>
                  <a:t>школска година</a:t>
                </a:r>
              </a:p>
            </c:rich>
          </c:tx>
          <c:layout>
            <c:manualLayout>
              <c:xMode val="edge"/>
              <c:yMode val="edge"/>
              <c:x val="0.26850258175559383"/>
              <c:y val="0.89583333333333337"/>
            </c:manualLayout>
          </c:layout>
          <c:overlay val="0"/>
          <c:spPr>
            <a:noFill/>
            <a:ln w="25357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9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88608768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88608768"/>
        <c:scaling>
          <c:orientation val="minMax"/>
        </c:scaling>
        <c:delete val="1"/>
        <c:axPos val="l"/>
        <c:majorGridlines>
          <c:spPr>
            <a:ln w="3170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1198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sr-Cyrl-RS"/>
                  <a:t>број ученика</a:t>
                </a:r>
              </a:p>
            </c:rich>
          </c:tx>
          <c:layout>
            <c:manualLayout>
              <c:xMode val="edge"/>
              <c:yMode val="edge"/>
              <c:x val="1.8932874354561102E-2"/>
              <c:y val="0.36979166666666669"/>
            </c:manualLayout>
          </c:layout>
          <c:overlay val="0"/>
          <c:spPr>
            <a:noFill/>
            <a:ln w="25357">
              <a:noFill/>
            </a:ln>
          </c:spPr>
        </c:title>
        <c:numFmt formatCode="General" sourceLinked="1"/>
        <c:majorTickMark val="out"/>
        <c:minorTickMark val="none"/>
        <c:tickLblPos val="nextTo"/>
        <c:crossAx val="41277312"/>
        <c:crosses val="autoZero"/>
        <c:crossBetween val="between"/>
      </c:valAx>
      <c:spPr>
        <a:solidFill>
          <a:srgbClr val="C0C0C0"/>
        </a:solidFill>
      </c:spPr>
    </c:plotArea>
    <c:legend>
      <c:legendPos val="r"/>
      <c:layout>
        <c:manualLayout>
          <c:xMode val="edge"/>
          <c:yMode val="edge"/>
          <c:x val="0.71944922547332191"/>
          <c:y val="0.453125"/>
          <c:w val="0.24537853107344632"/>
          <c:h val="0.10248584409182354"/>
        </c:manualLayout>
      </c:layout>
      <c:overlay val="0"/>
      <c:spPr>
        <a:noFill/>
        <a:ln w="3170">
          <a:solidFill>
            <a:srgbClr val="000000"/>
          </a:solidFill>
          <a:prstDash val="solid"/>
        </a:ln>
      </c:spPr>
      <c:txPr>
        <a:bodyPr/>
        <a:lstStyle/>
        <a:p>
          <a:pPr>
            <a:defRPr sz="1098" b="1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en-US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672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en-US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9395017793594305E-2"/>
          <c:y val="8.0645161290322578E-2"/>
          <c:w val="0.65658362989323849"/>
          <c:h val="0.66129032258064513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српски наставни језик</c:v>
                </c:pt>
              </c:strCache>
            </c:strRef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6815276148366639E-2"/>
                  <c:y val="-2.4610982141860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7.5625424444322083E-3"/>
                  <c:y val="3.07640033367922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3221004717067711E-2"/>
                  <c:y val="-4.46466866060347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2616412458932147E-2"/>
                  <c:y val="9.40601029522472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5.0979020979020892E-2"/>
                  <c:y val="-8.54894301003072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2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Sheet1!$B$1:$F$1</c:f>
              <c:strCache>
                <c:ptCount val="5"/>
                <c:pt idx="0">
                  <c:v>2010/2011.</c:v>
                </c:pt>
                <c:pt idx="1">
                  <c:v>2011/2012</c:v>
                </c:pt>
                <c:pt idx="2">
                  <c:v>2012/2013</c:v>
                </c:pt>
                <c:pt idx="3">
                  <c:v>2013/2014</c:v>
                </c:pt>
                <c:pt idx="4">
                  <c:v>2014/2015</c:v>
                </c:pt>
              </c:strCache>
            </c:strRef>
          </c:cat>
          <c:val>
            <c:numRef>
              <c:f>Sheet1!$B$2:$F$2</c:f>
              <c:numCache>
                <c:formatCode>General</c:formatCode>
                <c:ptCount val="5"/>
                <c:pt idx="0">
                  <c:v>18792</c:v>
                </c:pt>
                <c:pt idx="1">
                  <c:v>17794</c:v>
                </c:pt>
                <c:pt idx="2">
                  <c:v>17806</c:v>
                </c:pt>
                <c:pt idx="3">
                  <c:v>15726</c:v>
                </c:pt>
                <c:pt idx="4">
                  <c:v>14544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88620416"/>
        <c:axId val="107395712"/>
      </c:lineChart>
      <c:catAx>
        <c:axId val="88620416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2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sr-Cyrl-RS"/>
                  <a:t>школска година</a:t>
                </a:r>
              </a:p>
            </c:rich>
          </c:tx>
          <c:layout>
            <c:manualLayout>
              <c:xMode val="edge"/>
              <c:yMode val="edge"/>
              <c:x val="0.27580071174377224"/>
              <c:y val="0.84677419354838712"/>
            </c:manualLayout>
          </c:layout>
          <c:overlay val="0"/>
          <c:spPr>
            <a:noFill/>
            <a:ln w="25400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107395712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07395712"/>
        <c:scaling>
          <c:orientation val="minMax"/>
        </c:scaling>
        <c:delete val="1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12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sr-Cyrl-RS"/>
                  <a:t>број ученика</a:t>
                </a:r>
              </a:p>
            </c:rich>
          </c:tx>
          <c:layout>
            <c:manualLayout>
              <c:xMode val="edge"/>
              <c:yMode val="edge"/>
              <c:x val="1.601423487544484E-2"/>
              <c:y val="0.18951612903225806"/>
            </c:manualLayout>
          </c:layout>
          <c:overlay val="0"/>
          <c:spPr>
            <a:noFill/>
            <a:ln w="25400">
              <a:noFill/>
            </a:ln>
          </c:spPr>
        </c:title>
        <c:numFmt formatCode="General" sourceLinked="1"/>
        <c:majorTickMark val="out"/>
        <c:minorTickMark val="none"/>
        <c:tickLblPos val="nextTo"/>
        <c:crossAx val="88620416"/>
        <c:crosses val="autoZero"/>
        <c:crossBetween val="between"/>
      </c:valAx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76690391459074736"/>
          <c:y val="0.45161290322580644"/>
          <c:w val="0.22241992882562278"/>
          <c:h val="0.27822580645161288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1100" b="1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en-US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en-US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2949648961724308E-2"/>
          <c:y val="0.15977447263536501"/>
          <c:w val="0.62050359712230219"/>
          <c:h val="0.53398058252427183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мађарски наставни језик</c:v>
                </c:pt>
              </c:strCache>
            </c:strRef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4.6102779555382431E-2"/>
                  <c:y val="-4.78570039856129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1.6489988221436984E-2"/>
                  <c:y val="6.17283950617283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8547341476308396E-2"/>
                  <c:y val="6.45008262856031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4647153872016662E-2"/>
                  <c:y val="6.64306774220644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8908396167793513E-2"/>
                  <c:y val="7.82249441042092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2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Sheet1!$B$1:$F$1</c:f>
              <c:strCache>
                <c:ptCount val="5"/>
                <c:pt idx="0">
                  <c:v>2010/2011</c:v>
                </c:pt>
                <c:pt idx="1">
                  <c:v>2011/2012</c:v>
                </c:pt>
                <c:pt idx="2">
                  <c:v>2012/2013</c:v>
                </c:pt>
                <c:pt idx="3">
                  <c:v>2013/2014</c:v>
                </c:pt>
                <c:pt idx="4">
                  <c:v>2014/2015</c:v>
                </c:pt>
              </c:strCache>
            </c:strRef>
          </c:cat>
          <c:val>
            <c:numRef>
              <c:f>Sheet1!$B$2:$F$2</c:f>
              <c:numCache>
                <c:formatCode>General</c:formatCode>
                <c:ptCount val="5"/>
                <c:pt idx="0">
                  <c:v>1954</c:v>
                </c:pt>
                <c:pt idx="1">
                  <c:v>1989</c:v>
                </c:pt>
                <c:pt idx="2">
                  <c:v>1945</c:v>
                </c:pt>
                <c:pt idx="3">
                  <c:v>1679</c:v>
                </c:pt>
                <c:pt idx="4">
                  <c:v>1544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07554688"/>
        <c:axId val="156300416"/>
      </c:lineChart>
      <c:catAx>
        <c:axId val="107554688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2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sr-Cyrl-RS"/>
                  <a:t>школска година</a:t>
                </a:r>
              </a:p>
            </c:rich>
          </c:tx>
          <c:layout>
            <c:manualLayout>
              <c:xMode val="edge"/>
              <c:yMode val="edge"/>
              <c:x val="0.25"/>
              <c:y val="0.84466019417475724"/>
            </c:manualLayout>
          </c:layout>
          <c:overlay val="0"/>
          <c:spPr>
            <a:noFill/>
            <a:ln w="25400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156300416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56300416"/>
        <c:scaling>
          <c:orientation val="minMax"/>
        </c:scaling>
        <c:delete val="1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12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sr-Cyrl-RS"/>
                  <a:t>број ученика</a:t>
                </a:r>
              </a:p>
            </c:rich>
          </c:tx>
          <c:layout>
            <c:manualLayout>
              <c:xMode val="edge"/>
              <c:yMode val="edge"/>
              <c:x val="8.9928057553956831E-3"/>
              <c:y val="0.18446601941747573"/>
            </c:manualLayout>
          </c:layout>
          <c:overlay val="0"/>
          <c:spPr>
            <a:noFill/>
            <a:ln w="25400">
              <a:noFill/>
            </a:ln>
          </c:spPr>
        </c:title>
        <c:numFmt formatCode="General" sourceLinked="1"/>
        <c:majorTickMark val="out"/>
        <c:minorTickMark val="none"/>
        <c:tickLblPos val="nextTo"/>
        <c:crossAx val="107554688"/>
        <c:crosses val="autoZero"/>
        <c:crossBetween val="between"/>
      </c:valAx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7032374100719424"/>
          <c:y val="0.33980582524271846"/>
          <c:w val="0.28956834532374098"/>
          <c:h val="0.21359223300970873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1100" b="1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en-US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en-US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4.743833017077799E-2"/>
          <c:y val="4.8458149779735685E-2"/>
          <c:w val="0.65085388994307403"/>
          <c:h val="0.69162995594713661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словачки наставни језик</c:v>
                </c:pt>
              </c:strCache>
            </c:strRef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9.5477109492211843E-4"/>
                  <c:y val="7.39600180881309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1056659734818722E-2"/>
                  <c:y val="6.44885914660767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2644027038519626E-2"/>
                  <c:y val="0.1021721651882122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6.2557964762477263E-3"/>
                  <c:y val="5.84313917766914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1.1189411379443492E-2"/>
                  <c:y val="1.15614029259000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2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Sheet1!$B$1:$F$1</c:f>
              <c:strCache>
                <c:ptCount val="5"/>
                <c:pt idx="0">
                  <c:v>2010/2011</c:v>
                </c:pt>
                <c:pt idx="1">
                  <c:v>2011/2012</c:v>
                </c:pt>
                <c:pt idx="2">
                  <c:v>2012/2013</c:v>
                </c:pt>
                <c:pt idx="3">
                  <c:v>2013/2014</c:v>
                </c:pt>
                <c:pt idx="4">
                  <c:v>2014/2015</c:v>
                </c:pt>
              </c:strCache>
            </c:strRef>
          </c:cat>
          <c:val>
            <c:numRef>
              <c:f>Sheet1!$B$2:$F$2</c:f>
              <c:numCache>
                <c:formatCode>General</c:formatCode>
                <c:ptCount val="5"/>
                <c:pt idx="0">
                  <c:v>97</c:v>
                </c:pt>
                <c:pt idx="1">
                  <c:v>97</c:v>
                </c:pt>
                <c:pt idx="2">
                  <c:v>112</c:v>
                </c:pt>
                <c:pt idx="3">
                  <c:v>100</c:v>
                </c:pt>
                <c:pt idx="4">
                  <c:v>103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07966848"/>
        <c:axId val="107969920"/>
      </c:lineChart>
      <c:catAx>
        <c:axId val="107966848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2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sr-Cyrl-RS"/>
                  <a:t>школска година</a:t>
                </a:r>
              </a:p>
            </c:rich>
          </c:tx>
          <c:layout>
            <c:manualLayout>
              <c:xMode val="edge"/>
              <c:yMode val="edge"/>
              <c:x val="0.24288425047438331"/>
              <c:y val="0.85462555066079293"/>
            </c:manualLayout>
          </c:layout>
          <c:overlay val="0"/>
          <c:spPr>
            <a:noFill/>
            <a:ln w="25400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25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10796992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07969920"/>
        <c:scaling>
          <c:orientation val="minMax"/>
        </c:scaling>
        <c:delete val="1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12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sr-Cyrl-RS"/>
                  <a:t>број ученика</a:t>
                </a:r>
              </a:p>
            </c:rich>
          </c:tx>
          <c:layout>
            <c:manualLayout>
              <c:xMode val="edge"/>
              <c:yMode val="edge"/>
              <c:x val="0"/>
              <c:y val="0.14977973568281938"/>
            </c:manualLayout>
          </c:layout>
          <c:overlay val="0"/>
          <c:spPr>
            <a:noFill/>
            <a:ln w="25400">
              <a:noFill/>
            </a:ln>
          </c:spPr>
        </c:title>
        <c:numFmt formatCode="General" sourceLinked="1"/>
        <c:majorTickMark val="out"/>
        <c:minorTickMark val="none"/>
        <c:tickLblPos val="nextTo"/>
        <c:crossAx val="107966848"/>
        <c:crosses val="autoZero"/>
        <c:crossBetween val="between"/>
      </c:valAx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72106261859582543"/>
          <c:y val="0.29515418502202645"/>
          <c:w val="0.27134724857685011"/>
          <c:h val="0.29074889867841408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1100" b="1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en-US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en-US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4794520547945202E-2"/>
          <c:y val="2.0942408376963352E-2"/>
          <c:w val="0.6594911937377691"/>
          <c:h val="0.73298429319371727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румунски наставни језик</c:v>
                </c:pt>
              </c:strCache>
            </c:strRef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2.4240185079539246E-3"/>
                  <c:y val="7.14448206672454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1.8712248301016116E-2"/>
                  <c:y val="8.99471148196027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3258724137409842E-2"/>
                  <c:y val="-8.10994894294929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8.6863038473357825E-3"/>
                  <c:y val="5.365403951371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2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Sheet1!$B$1:$F$1</c:f>
              <c:strCache>
                <c:ptCount val="5"/>
                <c:pt idx="0">
                  <c:v>2010/2011</c:v>
                </c:pt>
                <c:pt idx="1">
                  <c:v>2011/2012</c:v>
                </c:pt>
                <c:pt idx="2">
                  <c:v>2012/2013</c:v>
                </c:pt>
                <c:pt idx="3">
                  <c:v>2013/2014</c:v>
                </c:pt>
                <c:pt idx="4">
                  <c:v>2014/2015</c:v>
                </c:pt>
              </c:strCache>
            </c:strRef>
          </c:cat>
          <c:val>
            <c:numRef>
              <c:f>Sheet1!$B$2:$F$2</c:f>
              <c:numCache>
                <c:formatCode>General</c:formatCode>
                <c:ptCount val="5"/>
                <c:pt idx="0">
                  <c:v>39</c:v>
                </c:pt>
                <c:pt idx="1">
                  <c:v>64</c:v>
                </c:pt>
                <c:pt idx="2">
                  <c:v>46</c:v>
                </c:pt>
                <c:pt idx="3">
                  <c:v>49</c:v>
                </c:pt>
                <c:pt idx="4">
                  <c:v>57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08001920"/>
        <c:axId val="108144512"/>
      </c:lineChart>
      <c:catAx>
        <c:axId val="108001920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2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sr-Cyrl-RS"/>
                  <a:t>школска година</a:t>
                </a:r>
              </a:p>
            </c:rich>
          </c:tx>
          <c:layout>
            <c:manualLayout>
              <c:xMode val="edge"/>
              <c:yMode val="edge"/>
              <c:x val="0.25048923679060664"/>
              <c:y val="0.84816753926701571"/>
            </c:manualLayout>
          </c:layout>
          <c:overlay val="0"/>
          <c:spPr>
            <a:noFill/>
            <a:ln w="25400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108144512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08144512"/>
        <c:scaling>
          <c:orientation val="minMax"/>
        </c:scaling>
        <c:delete val="1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12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sr-Cyrl-RS"/>
                  <a:t>број ученика</a:t>
                </a:r>
              </a:p>
            </c:rich>
          </c:tx>
          <c:layout>
            <c:manualLayout>
              <c:xMode val="edge"/>
              <c:yMode val="edge"/>
              <c:x val="0"/>
              <c:y val="9.947643979057591E-2"/>
            </c:manualLayout>
          </c:layout>
          <c:overlay val="0"/>
          <c:spPr>
            <a:noFill/>
            <a:ln w="25400">
              <a:noFill/>
            </a:ln>
          </c:spPr>
        </c:title>
        <c:numFmt formatCode="General" sourceLinked="1"/>
        <c:majorTickMark val="out"/>
        <c:minorTickMark val="none"/>
        <c:tickLblPos val="nextTo"/>
        <c:crossAx val="108001920"/>
        <c:crosses val="autoZero"/>
        <c:crossBetween val="between"/>
      </c:valAx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73972602739726023"/>
          <c:y val="0.36125654450261779"/>
          <c:w val="0.25244618395303325"/>
          <c:h val="0.35602094240837695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1100" b="1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en-US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5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en-US"/>
    </a:p>
  </c:tx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8393881453154873E-2"/>
          <c:y val="6.043956043956044E-2"/>
          <c:w val="0.63288718929254306"/>
          <c:h val="0.57692307692307687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русински наставни језик</c:v>
                </c:pt>
              </c:strCache>
            </c:strRef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2.4775741383734401E-3"/>
                  <c:y val="-6.25281515291357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1.6244205864840822E-2"/>
                  <c:y val="5.14827533577533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5460154722685933E-2"/>
                  <c:y val="7.49863298337707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0833312595563785E-2"/>
                  <c:y val="5.56033380442829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1.87142554647836E-2"/>
                  <c:y val="4.48430664916885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2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Sheet1!$B$1:$F$1</c:f>
              <c:strCache>
                <c:ptCount val="5"/>
                <c:pt idx="0">
                  <c:v>2010/2011</c:v>
                </c:pt>
                <c:pt idx="1">
                  <c:v>2011/2012</c:v>
                </c:pt>
                <c:pt idx="2">
                  <c:v>2012/2013</c:v>
                </c:pt>
                <c:pt idx="3">
                  <c:v>2013/2014</c:v>
                </c:pt>
                <c:pt idx="4">
                  <c:v>2014/2015</c:v>
                </c:pt>
              </c:strCache>
            </c:strRef>
          </c:cat>
          <c:val>
            <c:numRef>
              <c:f>Sheet1!$B$2:$F$2</c:f>
              <c:numCache>
                <c:formatCode>General</c:formatCode>
                <c:ptCount val="5"/>
                <c:pt idx="0">
                  <c:v>15</c:v>
                </c:pt>
                <c:pt idx="1">
                  <c:v>14</c:v>
                </c:pt>
                <c:pt idx="2">
                  <c:v>18</c:v>
                </c:pt>
                <c:pt idx="3">
                  <c:v>11</c:v>
                </c:pt>
                <c:pt idx="4">
                  <c:v>13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08160128"/>
        <c:axId val="167592320"/>
      </c:lineChart>
      <c:catAx>
        <c:axId val="108160128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2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sr-Cyrl-RS"/>
                  <a:t>школска година</a:t>
                </a:r>
              </a:p>
            </c:rich>
          </c:tx>
          <c:layout>
            <c:manualLayout>
              <c:xMode val="edge"/>
              <c:yMode val="edge"/>
              <c:x val="0.26386233269598469"/>
              <c:y val="0.78021978021978022"/>
            </c:manualLayout>
          </c:layout>
          <c:overlay val="0"/>
          <c:spPr>
            <a:noFill/>
            <a:ln w="25400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16759232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67592320"/>
        <c:scaling>
          <c:orientation val="minMax"/>
        </c:scaling>
        <c:delete val="1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12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sr-Cyrl-RS"/>
                  <a:t>број ученика</a:t>
                </a:r>
              </a:p>
            </c:rich>
          </c:tx>
          <c:layout>
            <c:manualLayout>
              <c:xMode val="edge"/>
              <c:yMode val="edge"/>
              <c:x val="1.9120458891013385E-2"/>
              <c:y val="5.4945054945054944E-2"/>
            </c:manualLayout>
          </c:layout>
          <c:overlay val="0"/>
          <c:spPr>
            <a:noFill/>
            <a:ln w="25400">
              <a:noFill/>
            </a:ln>
          </c:spPr>
        </c:title>
        <c:numFmt formatCode="General" sourceLinked="1"/>
        <c:majorTickMark val="out"/>
        <c:minorTickMark val="none"/>
        <c:tickLblPos val="nextTo"/>
        <c:crossAx val="108160128"/>
        <c:crosses val="autoZero"/>
        <c:crossBetween val="between"/>
      </c:valAx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75334608030592731"/>
          <c:y val="0.13186813186813187"/>
          <c:w val="0.21988527724665391"/>
          <c:h val="0.49450549450549453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1100" b="1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en-US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en-US"/>
    </a:p>
  </c:txPr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5346534653465349E-2"/>
          <c:y val="6.043956043956044E-2"/>
          <c:w val="0.65346534653465349"/>
          <c:h val="0.62087912087912089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хрватски наставни језик</c:v>
                </c:pt>
              </c:strCache>
            </c:strRef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1.3510757045307183E-2"/>
                  <c:y val="2.63130810571755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1.0251544656388337E-2"/>
                  <c:y val="8.43108373472546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0152663682409235E-2"/>
                  <c:y val="0.11446930912482094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1.2231797067273127E-2"/>
                  <c:y val="8.68747115745147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175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Sheet1!$B$1:$F$1</c:f>
              <c:strCache>
                <c:ptCount val="5"/>
                <c:pt idx="0">
                  <c:v>2010/2011</c:v>
                </c:pt>
                <c:pt idx="1">
                  <c:v>2011/2012</c:v>
                </c:pt>
                <c:pt idx="2">
                  <c:v>2012/2013</c:v>
                </c:pt>
                <c:pt idx="3">
                  <c:v>2013/2014</c:v>
                </c:pt>
                <c:pt idx="4">
                  <c:v>2014/2015</c:v>
                </c:pt>
              </c:strCache>
            </c:strRef>
          </c:cat>
          <c:val>
            <c:numRef>
              <c:f>Sheet1!$B$2:$F$2</c:f>
              <c:numCache>
                <c:formatCode>General</c:formatCode>
                <c:ptCount val="5"/>
                <c:pt idx="0">
                  <c:v>37</c:v>
                </c:pt>
                <c:pt idx="1">
                  <c:v>36</c:v>
                </c:pt>
                <c:pt idx="2">
                  <c:v>34</c:v>
                </c:pt>
                <c:pt idx="3">
                  <c:v>40</c:v>
                </c:pt>
                <c:pt idx="4">
                  <c:v>34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67607680"/>
        <c:axId val="167611008"/>
      </c:lineChart>
      <c:catAx>
        <c:axId val="167607680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175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sr-Cyrl-RS"/>
                  <a:t>школска година</a:t>
                </a:r>
              </a:p>
            </c:rich>
          </c:tx>
          <c:layout>
            <c:manualLayout>
              <c:xMode val="edge"/>
              <c:yMode val="edge"/>
              <c:x val="0.25742574257425743"/>
              <c:y val="0.82417582417582413"/>
            </c:manualLayout>
          </c:layout>
          <c:overlay val="0"/>
          <c:spPr>
            <a:noFill/>
            <a:ln w="25400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167611008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67611008"/>
        <c:scaling>
          <c:orientation val="minMax"/>
        </c:scaling>
        <c:delete val="1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1175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sr-Cyrl-RS"/>
                  <a:t>број ученика</a:t>
                </a:r>
              </a:p>
            </c:rich>
          </c:tx>
          <c:layout>
            <c:manualLayout>
              <c:xMode val="edge"/>
              <c:yMode val="edge"/>
              <c:x val="5.9405940594059407E-3"/>
              <c:y val="6.5934065934065936E-2"/>
            </c:manualLayout>
          </c:layout>
          <c:overlay val="0"/>
          <c:spPr>
            <a:noFill/>
            <a:ln w="25400">
              <a:noFill/>
            </a:ln>
          </c:spPr>
        </c:title>
        <c:numFmt formatCode="General" sourceLinked="1"/>
        <c:majorTickMark val="out"/>
        <c:minorTickMark val="none"/>
        <c:tickLblPos val="nextTo"/>
        <c:crossAx val="167607680"/>
        <c:crosses val="autoZero"/>
        <c:crossBetween val="between"/>
      </c:valAx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75643564356435644"/>
          <c:y val="0.27472527472527475"/>
          <c:w val="0.23960396039603959"/>
          <c:h val="0.37912087912087911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1100" b="1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en-US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en-US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644</TotalTime>
  <Pages>21</Pages>
  <Words>4901</Words>
  <Characters>27942</Characters>
  <Application>Microsoft Office Word</Application>
  <DocSecurity>0</DocSecurity>
  <Lines>232</Lines>
  <Paragraphs>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 Cato</dc:creator>
  <cp:keywords/>
  <dc:description/>
  <cp:lastModifiedBy>Sonja Cato</cp:lastModifiedBy>
  <cp:revision>65</cp:revision>
  <dcterms:created xsi:type="dcterms:W3CDTF">2013-12-20T09:09:00Z</dcterms:created>
  <dcterms:modified xsi:type="dcterms:W3CDTF">2014-12-02T09:22:00Z</dcterms:modified>
</cp:coreProperties>
</file>