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B06" w:rsidRDefault="009164DF">
      <w:pPr>
        <w:spacing w:after="4" w:line="259" w:lineRule="auto"/>
        <w:ind w:left="0" w:firstLine="0"/>
        <w:jc w:val="left"/>
      </w:pPr>
      <w:r>
        <w:rPr>
          <w:rFonts w:ascii="Arial" w:hAnsi="Arial"/>
          <w:sz w:val="22"/>
        </w:rPr>
        <w:t xml:space="preserve"> </w:t>
      </w:r>
    </w:p>
    <w:p w:rsidR="00381B06" w:rsidRDefault="009164DF">
      <w:pPr>
        <w:spacing w:after="8"/>
        <w:ind w:right="1432"/>
      </w:pPr>
      <w:r>
        <w:rPr>
          <w:noProof/>
          <w:lang w:val="en-US"/>
        </w:rPr>
        <w:drawing>
          <wp:anchor distT="0" distB="0" distL="114300" distR="114300" simplePos="0" relativeHeight="251658240" behindDoc="0" locked="0" layoutInCell="1" allowOverlap="0">
            <wp:simplePos x="0" y="0"/>
            <wp:positionH relativeFrom="column">
              <wp:posOffset>84150</wp:posOffset>
            </wp:positionH>
            <wp:positionV relativeFrom="paragraph">
              <wp:posOffset>-26162</wp:posOffset>
            </wp:positionV>
            <wp:extent cx="1485900" cy="962025"/>
            <wp:effectExtent l="0" t="0" r="0" b="0"/>
            <wp:wrapSquare wrapText="bothSides"/>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5"/>
                    <a:stretch>
                      <a:fillRect/>
                    </a:stretch>
                  </pic:blipFill>
                  <pic:spPr>
                    <a:xfrm>
                      <a:off x="0" y="0"/>
                      <a:ext cx="1485900" cy="962025"/>
                    </a:xfrm>
                    <a:prstGeom prst="rect">
                      <a:avLst/>
                    </a:prstGeom>
                  </pic:spPr>
                </pic:pic>
              </a:graphicData>
            </a:graphic>
          </wp:anchor>
        </w:drawing>
      </w:r>
      <w:r>
        <w:t xml:space="preserve">Srbská republika </w:t>
      </w:r>
    </w:p>
    <w:p w:rsidR="00381B06" w:rsidRDefault="009164DF" w:rsidP="00CB3C28">
      <w:pPr>
        <w:spacing w:after="0" w:line="259" w:lineRule="auto"/>
        <w:ind w:right="2123"/>
      </w:pPr>
      <w:r>
        <w:t xml:space="preserve">Autonómna </w:t>
      </w:r>
      <w:proofErr w:type="spellStart"/>
      <w:r>
        <w:t>pokrajina</w:t>
      </w:r>
      <w:proofErr w:type="spellEnd"/>
      <w:r>
        <w:t xml:space="preserve"> Vojvodina </w:t>
      </w:r>
    </w:p>
    <w:p w:rsidR="00381B06" w:rsidRDefault="009164DF">
      <w:pPr>
        <w:pStyle w:val="Heading1"/>
        <w:numPr>
          <w:ilvl w:val="0"/>
          <w:numId w:val="0"/>
        </w:numPr>
        <w:ind w:left="175"/>
      </w:pPr>
      <w:proofErr w:type="spellStart"/>
      <w:r>
        <w:t>Pokrajinský</w:t>
      </w:r>
      <w:proofErr w:type="spellEnd"/>
      <w:r>
        <w:t xml:space="preserve"> sekretariát vzdelávania, predpisov, správy a národnostných menšín – národnostných spoločenstiev </w:t>
      </w:r>
    </w:p>
    <w:p w:rsidR="00381B06" w:rsidRDefault="009164DF" w:rsidP="00CB3C28">
      <w:pPr>
        <w:spacing w:after="0" w:line="259" w:lineRule="auto"/>
        <w:ind w:left="133" w:right="1483" w:firstLine="0"/>
      </w:pPr>
      <w:r>
        <w:rPr>
          <w:sz w:val="18"/>
        </w:rPr>
        <w:t xml:space="preserve">Bulvár </w:t>
      </w:r>
      <w:proofErr w:type="spellStart"/>
      <w:r>
        <w:rPr>
          <w:sz w:val="18"/>
        </w:rPr>
        <w:t>Mihajla</w:t>
      </w:r>
      <w:proofErr w:type="spellEnd"/>
      <w:r>
        <w:rPr>
          <w:sz w:val="18"/>
        </w:rPr>
        <w:t xml:space="preserve"> </w:t>
      </w:r>
      <w:proofErr w:type="spellStart"/>
      <w:r>
        <w:rPr>
          <w:sz w:val="18"/>
        </w:rPr>
        <w:t>Pupina</w:t>
      </w:r>
      <w:proofErr w:type="spellEnd"/>
      <w:r>
        <w:rPr>
          <w:sz w:val="18"/>
        </w:rPr>
        <w:t xml:space="preserve"> 16, 21 000 Nový Sad </w:t>
      </w:r>
    </w:p>
    <w:p w:rsidR="00381B06" w:rsidRDefault="009164DF">
      <w:pPr>
        <w:spacing w:after="63" w:line="259" w:lineRule="auto"/>
        <w:jc w:val="left"/>
      </w:pPr>
      <w:r>
        <w:rPr>
          <w:sz w:val="18"/>
        </w:rPr>
        <w:t xml:space="preserve">T: +381 21 487 4876 </w:t>
      </w:r>
    </w:p>
    <w:p w:rsidR="00381B06" w:rsidRDefault="009164DF">
      <w:pPr>
        <w:spacing w:after="69" w:line="499" w:lineRule="auto"/>
        <w:ind w:left="2775" w:right="2877" w:hanging="302"/>
        <w:jc w:val="left"/>
      </w:pPr>
      <w:r>
        <w:rPr>
          <w:sz w:val="34"/>
          <w:vertAlign w:val="superscript"/>
        </w:rPr>
        <w:t xml:space="preserve"> </w:t>
      </w:r>
      <w:r>
        <w:rPr>
          <w:sz w:val="34"/>
          <w:vertAlign w:val="superscript"/>
        </w:rPr>
        <w:tab/>
      </w:r>
      <w:hyperlink r:id="rId6" w:history="1">
        <w:r w:rsidR="00CB3C28" w:rsidRPr="00876DE3">
          <w:rPr>
            <w:rStyle w:val="Hyperlink"/>
            <w:sz w:val="18"/>
            <w:u w:color="0000FF"/>
          </w:rPr>
          <w:t>Ounz@vojvodinа.gov.rs</w:t>
        </w:r>
      </w:hyperlink>
      <w:r w:rsidR="00CB3C28">
        <w:rPr>
          <w:color w:val="0000FF"/>
          <w:sz w:val="18"/>
          <w:u w:val="single" w:color="0000FF"/>
        </w:rPr>
        <w:t xml:space="preserve"> </w:t>
      </w:r>
      <w:r>
        <w:rPr>
          <w:color w:val="0000FF"/>
          <w:sz w:val="18"/>
          <w:u w:val="single" w:color="0000FF"/>
        </w:rPr>
        <w:t>merlida.konstantinovic@vojvodina.gov.rs</w:t>
      </w:r>
      <w:r>
        <w:rPr>
          <w:sz w:val="18"/>
        </w:rPr>
        <w:t xml:space="preserve">  </w:t>
      </w:r>
    </w:p>
    <w:p w:rsidR="00381B06" w:rsidRDefault="009164DF">
      <w:pPr>
        <w:tabs>
          <w:tab w:val="center" w:pos="4795"/>
          <w:tab w:val="center" w:pos="8182"/>
        </w:tabs>
        <w:spacing w:after="12" w:line="259" w:lineRule="auto"/>
        <w:ind w:left="0" w:firstLine="0"/>
        <w:jc w:val="left"/>
      </w:pPr>
      <w:r>
        <w:rPr>
          <w:sz w:val="18"/>
        </w:rPr>
        <w:t xml:space="preserve"> </w:t>
      </w:r>
      <w:r>
        <w:rPr>
          <w:sz w:val="18"/>
        </w:rPr>
        <w:tab/>
        <w:t>ČÍSLO:</w:t>
      </w:r>
      <w:r>
        <w:rPr>
          <w:rFonts w:ascii="Times New Roman" w:hAnsi="Times New Roman"/>
          <w:b/>
          <w:sz w:val="27"/>
        </w:rPr>
        <w:t xml:space="preserve"> </w:t>
      </w:r>
      <w:r>
        <w:rPr>
          <w:b/>
          <w:sz w:val="18"/>
        </w:rPr>
        <w:t xml:space="preserve"> </w:t>
      </w:r>
      <w:r>
        <w:rPr>
          <w:sz w:val="18"/>
        </w:rPr>
        <w:t xml:space="preserve">000820689 2026 09427 001 002 000 001 04 002 </w:t>
      </w:r>
      <w:r>
        <w:rPr>
          <w:sz w:val="18"/>
        </w:rPr>
        <w:tab/>
        <w:t xml:space="preserve">DÁTUM: 4. 3. 2026 </w:t>
      </w:r>
    </w:p>
    <w:p w:rsidR="00381B06" w:rsidRDefault="009164DF">
      <w:pPr>
        <w:spacing w:after="0" w:line="259" w:lineRule="auto"/>
        <w:ind w:left="0" w:firstLine="0"/>
        <w:jc w:val="left"/>
      </w:pPr>
      <w:r>
        <w:rPr>
          <w:sz w:val="22"/>
        </w:rPr>
        <w:t xml:space="preserve"> </w:t>
      </w:r>
    </w:p>
    <w:p w:rsidR="00381B06" w:rsidRDefault="009164DF">
      <w:pPr>
        <w:spacing w:after="0"/>
        <w:ind w:left="-5" w:right="1432"/>
      </w:pPr>
      <w:r>
        <w:t xml:space="preserve">Podľa článku 5 </w:t>
      </w:r>
      <w:proofErr w:type="spellStart"/>
      <w:r>
        <w:t>Pokrajinského</w:t>
      </w:r>
      <w:proofErr w:type="spellEnd"/>
      <w:r>
        <w:t xml:space="preserve"> parlamentného uznesenia o prideľovaní rozpočtových prostriedkov na financovanie a spolufinancovanie programových aktivít a projektov v oblasti základného a stredného vzdelávania a výchovy a žiackeho štandardu v Autonómnej </w:t>
      </w:r>
      <w:proofErr w:type="spellStart"/>
      <w:r>
        <w:t>pokrajine</w:t>
      </w:r>
      <w:proofErr w:type="spellEnd"/>
      <w:r>
        <w:t xml:space="preserve"> Vojvodine (Úradný vestník APV č. 14/15 a 10/17), článku 24 odsek 2 </w:t>
      </w:r>
      <w:proofErr w:type="spellStart"/>
      <w:r>
        <w:t>Pokrajinského</w:t>
      </w:r>
      <w:proofErr w:type="spellEnd"/>
      <w:r>
        <w:t xml:space="preserve"> parlamentného uznesenia o </w:t>
      </w:r>
      <w:proofErr w:type="spellStart"/>
      <w:r>
        <w:t>pokrajinskej</w:t>
      </w:r>
      <w:proofErr w:type="spellEnd"/>
      <w:r>
        <w:t xml:space="preserve"> správe (Úradný vestník AP Vojvodiny č. 37/2014, 54/2014 –  i. uznesenie, 37/16, 29/17, 24/19, 66/20, 38/2021, 22/25) a článku 3 Pravidiel pridelenia rozpočtových prostriedkov </w:t>
      </w:r>
      <w:proofErr w:type="spellStart"/>
      <w:r>
        <w:t>Pokrajinského</w:t>
      </w:r>
      <w:proofErr w:type="spellEnd"/>
      <w:r>
        <w:t xml:space="preserve"> sekretariátu vzdelávania, predpisov, správy a národnostných menšín – národnostných spoločenstiev na financovanie a spolufinancovanie programov a projektov v oblasti základného a stredného vzdelávania a výchovy v Autonómnej </w:t>
      </w:r>
      <w:proofErr w:type="spellStart"/>
      <w:r>
        <w:t>pokrajine</w:t>
      </w:r>
      <w:proofErr w:type="spellEnd"/>
      <w:r>
        <w:t xml:space="preserve"> Vojvodine na rok 2026 (číslo: 000 783313 2026 09427 001 001 000 001 zo dňa 27. 02. 2026), </w:t>
      </w:r>
      <w:proofErr w:type="spellStart"/>
      <w:r>
        <w:t>Pokrajinský</w:t>
      </w:r>
      <w:proofErr w:type="spellEnd"/>
      <w:r>
        <w:t xml:space="preserve"> tajomník vzdelávania, predpisov, správy a národnostných menšín – národnostných spoločenstiev vypisuje:  </w:t>
      </w:r>
    </w:p>
    <w:p w:rsidR="00381B06" w:rsidRDefault="009164DF">
      <w:pPr>
        <w:spacing w:after="0" w:line="259" w:lineRule="auto"/>
        <w:ind w:left="0" w:right="1396" w:firstLine="0"/>
        <w:jc w:val="center"/>
      </w:pPr>
      <w:r>
        <w:rPr>
          <w:b/>
        </w:rPr>
        <w:t xml:space="preserve"> </w:t>
      </w:r>
    </w:p>
    <w:p w:rsidR="00CB3C28" w:rsidRDefault="009164DF">
      <w:pPr>
        <w:pStyle w:val="Heading1"/>
        <w:numPr>
          <w:ilvl w:val="0"/>
          <w:numId w:val="0"/>
        </w:numPr>
        <w:spacing w:after="0"/>
        <w:ind w:left="10" w:right="1442"/>
        <w:jc w:val="center"/>
      </w:pPr>
      <w:r>
        <w:t>SÚBEH NA FINANCOVANIE A SPOLUFINANCOVANIE PROGRAMOV A PROJEKTOV V</w:t>
      </w:r>
      <w:r w:rsidR="00CB3C28">
        <w:t> </w:t>
      </w:r>
      <w:r>
        <w:t>OBLASTI</w:t>
      </w:r>
    </w:p>
    <w:p w:rsidR="00381B06" w:rsidRDefault="009164DF">
      <w:pPr>
        <w:pStyle w:val="Heading1"/>
        <w:numPr>
          <w:ilvl w:val="0"/>
          <w:numId w:val="0"/>
        </w:numPr>
        <w:spacing w:after="0"/>
        <w:ind w:left="10" w:right="1442"/>
        <w:jc w:val="center"/>
      </w:pPr>
      <w:r>
        <w:t xml:space="preserve"> ZÁKLADNÉHO A STRED</w:t>
      </w:r>
      <w:r w:rsidR="00CB3C28">
        <w:t>NÉHO</w:t>
      </w:r>
      <w:r>
        <w:t xml:space="preserve"> VZDELÁVA</w:t>
      </w:r>
      <w:r w:rsidR="00CB3C28">
        <w:t>NIA V AP VOJVODINE NA ROK 2026</w:t>
      </w:r>
      <w:r>
        <w:rPr>
          <w:b w:val="0"/>
        </w:rPr>
        <w:t xml:space="preserve">   </w:t>
      </w:r>
    </w:p>
    <w:p w:rsidR="00381B06" w:rsidRDefault="009164DF">
      <w:pPr>
        <w:spacing w:after="0" w:line="259" w:lineRule="auto"/>
        <w:ind w:left="1137" w:firstLine="0"/>
        <w:jc w:val="center"/>
      </w:pPr>
      <w:r>
        <w:t xml:space="preserve">                                                        </w:t>
      </w:r>
      <w:r>
        <w:rPr>
          <w:b/>
        </w:rPr>
        <w:t xml:space="preserve"> </w:t>
      </w:r>
    </w:p>
    <w:p w:rsidR="00381B06" w:rsidRDefault="009164DF">
      <w:pPr>
        <w:spacing w:after="113"/>
        <w:ind w:left="-15" w:right="1432" w:firstLine="566"/>
      </w:pPr>
      <w:r>
        <w:t xml:space="preserve">Prostriedky zabezpečené </w:t>
      </w:r>
      <w:proofErr w:type="spellStart"/>
      <w:r>
        <w:t>Pokrajinským</w:t>
      </w:r>
      <w:proofErr w:type="spellEnd"/>
      <w:r>
        <w:t xml:space="preserve"> parlamentným uznesením o rozpočte Autonómnej </w:t>
      </w:r>
      <w:proofErr w:type="spellStart"/>
      <w:r>
        <w:t>pokrajiny</w:t>
      </w:r>
      <w:proofErr w:type="spellEnd"/>
      <w:r>
        <w:t xml:space="preserve"> Vojvodiny na rok 2026 na financovanie a spolufinancovanie programov a projektov na zvyšovanie kvality vzdelávania a výchovy v oblasti základného a stredoškolského vzdelávania v AP Vojvodine v roku 2026 sú vo výške </w:t>
      </w:r>
      <w:r>
        <w:rPr>
          <w:b/>
          <w:bCs/>
        </w:rPr>
        <w:t>15 000 000,00 dinárov.</w:t>
      </w:r>
      <w:r>
        <w:rPr>
          <w:b/>
        </w:rPr>
        <w:t xml:space="preserve"> </w:t>
      </w:r>
    </w:p>
    <w:p w:rsidR="00E07879" w:rsidRDefault="009164DF">
      <w:pPr>
        <w:pStyle w:val="Heading1"/>
        <w:numPr>
          <w:ilvl w:val="0"/>
          <w:numId w:val="0"/>
        </w:numPr>
        <w:ind w:left="10" w:right="1623"/>
        <w:jc w:val="center"/>
      </w:pPr>
      <w:r>
        <w:t xml:space="preserve">ROZVRHNUTIE PROSTRIEDKOV </w:t>
      </w:r>
    </w:p>
    <w:p w:rsidR="00E07879" w:rsidRPr="00E07879" w:rsidRDefault="00E07879" w:rsidP="00E07879"/>
    <w:p w:rsidR="00381B06" w:rsidRDefault="009164DF" w:rsidP="00E07879">
      <w:pPr>
        <w:pStyle w:val="Heading1"/>
        <w:numPr>
          <w:ilvl w:val="0"/>
          <w:numId w:val="0"/>
        </w:numPr>
        <w:ind w:left="10" w:right="1623" w:firstLine="556"/>
      </w:pPr>
      <w:r>
        <w:t xml:space="preserve">Pre ustanovizne základného a stredoškolského vzdelania a regionálne centrá pre profesionálny rozvoj zamestnancov vo vzdelávaní </w:t>
      </w:r>
    </w:p>
    <w:p w:rsidR="00381B06" w:rsidRDefault="009164DF">
      <w:pPr>
        <w:spacing w:after="8"/>
        <w:ind w:left="576" w:right="1432"/>
      </w:pPr>
      <w:r>
        <w:t xml:space="preserve">a) pre programy a projekty základného vzdelávania – </w:t>
      </w:r>
      <w:r>
        <w:rPr>
          <w:b/>
          <w:bCs/>
        </w:rPr>
        <w:t>11 500 000,00 dinárov,</w:t>
      </w:r>
      <w:r>
        <w:rPr>
          <w:b/>
        </w:rPr>
        <w:t xml:space="preserve"> </w:t>
      </w:r>
    </w:p>
    <w:p w:rsidR="00381B06" w:rsidRDefault="009164DF">
      <w:pPr>
        <w:ind w:left="576" w:right="1432"/>
      </w:pPr>
      <w:r>
        <w:t xml:space="preserve">b) pre programy a projekty stredoškolského vzdelávania – </w:t>
      </w:r>
      <w:r>
        <w:rPr>
          <w:b/>
          <w:bCs/>
        </w:rPr>
        <w:t>3 500 000,00 dinárov,</w:t>
      </w:r>
      <w:r>
        <w:rPr>
          <w:b/>
        </w:rPr>
        <w:t xml:space="preserve"> </w:t>
      </w:r>
    </w:p>
    <w:p w:rsidR="00381B06" w:rsidRDefault="009164DF">
      <w:pPr>
        <w:ind w:left="-15" w:right="1625" w:firstLine="566"/>
      </w:pPr>
      <w:r>
        <w:t xml:space="preserve">Právo na pridelenie prostriedkov majú ustanovizne základného a stredného vzdelávania a výchovy na území AP Vojvodiny, ktorých zakladateľom je Srbská republika, autonómna </w:t>
      </w:r>
      <w:proofErr w:type="spellStart"/>
      <w:r>
        <w:t>pokrajina</w:t>
      </w:r>
      <w:proofErr w:type="spellEnd"/>
      <w:r>
        <w:t xml:space="preserve"> alebo jednotka lokálnej samosprávy a regionálne centrá pre rozvoj zamestnancov vo vzdelávaní so sídlom na území AP Vojvodiny.  </w:t>
      </w:r>
    </w:p>
    <w:p w:rsidR="00381B06" w:rsidRDefault="009164DF">
      <w:pPr>
        <w:ind w:left="-15" w:right="1630" w:firstLine="566"/>
      </w:pPr>
      <w:r>
        <w:t xml:space="preserve">Finančnou podporou, ktorá sa týmto súbehom </w:t>
      </w:r>
      <w:r w:rsidR="00CB3C28">
        <w:t>poskytuje sa presadzuje</w:t>
      </w:r>
      <w:r>
        <w:t xml:space="preserve"> alebo chráni verejný záujem určený ustanoveniami článku 6, 7, 8 a 9. Zákona o základoch systému výchovy a vzdelania (vestník </w:t>
      </w:r>
      <w:proofErr w:type="spellStart"/>
      <w:r>
        <w:t>Službeni</w:t>
      </w:r>
      <w:proofErr w:type="spellEnd"/>
      <w:r>
        <w:t xml:space="preserve"> </w:t>
      </w:r>
      <w:proofErr w:type="spellStart"/>
      <w:r>
        <w:t>glasnik</w:t>
      </w:r>
      <w:proofErr w:type="spellEnd"/>
      <w:r>
        <w:t xml:space="preserve"> RS č. 88/2017, 27/2018 – iné zákony, 10/2019, 6/2020, 129/2021 a 92/2023). </w:t>
      </w:r>
    </w:p>
    <w:p w:rsidR="00381B06" w:rsidRDefault="009164DF">
      <w:pPr>
        <w:spacing w:after="40"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43" w:line="259" w:lineRule="auto"/>
        <w:ind w:left="0" w:firstLine="0"/>
        <w:jc w:val="left"/>
      </w:pPr>
      <w:r>
        <w:t xml:space="preserve"> </w:t>
      </w:r>
    </w:p>
    <w:p w:rsidR="00381B06" w:rsidRDefault="009164DF">
      <w:pPr>
        <w:spacing w:after="40"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40"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0" w:line="259" w:lineRule="auto"/>
        <w:ind w:left="0" w:firstLine="0"/>
        <w:jc w:val="left"/>
      </w:pPr>
      <w:r>
        <w:t xml:space="preserve"> </w:t>
      </w:r>
    </w:p>
    <w:p w:rsidR="00381B06" w:rsidRDefault="009164DF">
      <w:pPr>
        <w:spacing w:after="42" w:line="259" w:lineRule="auto"/>
        <w:ind w:left="0" w:firstLine="0"/>
        <w:jc w:val="left"/>
      </w:pPr>
      <w:r>
        <w:lastRenderedPageBreak/>
        <w:t xml:space="preserve"> </w:t>
      </w:r>
    </w:p>
    <w:p w:rsidR="00381B06" w:rsidRDefault="00CB3C28">
      <w:pPr>
        <w:ind w:left="-5" w:right="1432"/>
      </w:pPr>
      <w:r>
        <w:t>Uvedené</w:t>
      </w:r>
      <w:r w:rsidR="009164DF">
        <w:t xml:space="preserve"> prostriedky sú určené na tieto priority: </w:t>
      </w:r>
    </w:p>
    <w:p w:rsidR="00381B06" w:rsidRDefault="009164DF">
      <w:pPr>
        <w:spacing w:after="11" w:line="259" w:lineRule="auto"/>
        <w:ind w:left="566" w:firstLine="0"/>
        <w:jc w:val="left"/>
      </w:pPr>
      <w:r>
        <w:t xml:space="preserve"> </w:t>
      </w:r>
    </w:p>
    <w:p w:rsidR="00381B06" w:rsidRDefault="009164DF">
      <w:pPr>
        <w:pStyle w:val="Heading1"/>
        <w:spacing w:after="31"/>
        <w:ind w:left="525" w:right="1425" w:hanging="360"/>
      </w:pPr>
      <w:r>
        <w:t xml:space="preserve">Modernizácia výchovno-vzdelávacej práce  </w:t>
      </w:r>
    </w:p>
    <w:p w:rsidR="00381B06" w:rsidRDefault="009164DF">
      <w:pPr>
        <w:spacing w:after="24"/>
        <w:ind w:left="1351" w:right="1621" w:hanging="720"/>
      </w:pPr>
      <w:r>
        <w:t xml:space="preserve">– modernizácia vyučovacieho procesu prostredníctvom inovácií a kreativity všetkých zúčastnených, odborné zdokonaľovanie pedagogických zamestnancov, mediálna popularizácia vzdelávania s cieľom vyzdvihnúť dobré príklady z praxe a moderné trendy vo vzdelávaní </w:t>
      </w:r>
    </w:p>
    <w:p w:rsidR="00381B06" w:rsidRDefault="009164DF">
      <w:pPr>
        <w:spacing w:after="49" w:line="259" w:lineRule="auto"/>
        <w:ind w:left="1351" w:firstLine="0"/>
        <w:jc w:val="left"/>
      </w:pPr>
      <w:r>
        <w:t xml:space="preserve"> </w:t>
      </w:r>
    </w:p>
    <w:p w:rsidR="00381B06" w:rsidRDefault="009164DF">
      <w:pPr>
        <w:pStyle w:val="Heading1"/>
        <w:spacing w:after="67"/>
        <w:ind w:left="525" w:right="1425" w:hanging="360"/>
      </w:pPr>
      <w:r>
        <w:t xml:space="preserve">Prispôsobenie vzdelávania potrebám trhu práce  </w:t>
      </w:r>
    </w:p>
    <w:p w:rsidR="00381B06" w:rsidRDefault="009164DF">
      <w:pPr>
        <w:numPr>
          <w:ilvl w:val="0"/>
          <w:numId w:val="1"/>
        </w:numPr>
        <w:ind w:right="1432" w:hanging="720"/>
      </w:pPr>
      <w:r>
        <w:t xml:space="preserve">zlepšenie podnikateľského ducha, rozvoj praktických a životných zručností;      </w:t>
      </w:r>
    </w:p>
    <w:p w:rsidR="00381B06" w:rsidRDefault="009164DF">
      <w:pPr>
        <w:numPr>
          <w:ilvl w:val="0"/>
          <w:numId w:val="1"/>
        </w:numPr>
        <w:spacing w:after="8"/>
        <w:ind w:right="1432" w:hanging="720"/>
      </w:pPr>
      <w:r>
        <w:t xml:space="preserve">profesionálna orientácia a </w:t>
      </w:r>
      <w:proofErr w:type="spellStart"/>
      <w:r>
        <w:t>kariérové</w:t>
      </w:r>
      <w:proofErr w:type="spellEnd"/>
      <w:r>
        <w:t xml:space="preserve"> poradenstvo, zvyšovanie kvality odbornej praxe. </w:t>
      </w:r>
    </w:p>
    <w:p w:rsidR="00381B06" w:rsidRDefault="009164DF">
      <w:pPr>
        <w:spacing w:after="49" w:line="259" w:lineRule="auto"/>
        <w:ind w:left="0" w:firstLine="0"/>
        <w:jc w:val="left"/>
      </w:pPr>
      <w:r>
        <w:t xml:space="preserve"> </w:t>
      </w:r>
    </w:p>
    <w:p w:rsidR="00381B06" w:rsidRDefault="009164DF">
      <w:pPr>
        <w:pStyle w:val="Heading1"/>
        <w:spacing w:after="64"/>
        <w:ind w:left="525" w:right="1425" w:hanging="360"/>
      </w:pPr>
      <w:r>
        <w:t xml:space="preserve">Pestovanie </w:t>
      </w:r>
      <w:proofErr w:type="spellStart"/>
      <w:r>
        <w:t>multikultúrnosti</w:t>
      </w:r>
      <w:proofErr w:type="spellEnd"/>
      <w:r>
        <w:t>/</w:t>
      </w:r>
      <w:proofErr w:type="spellStart"/>
      <w:r>
        <w:t>interkultúrnosti</w:t>
      </w:r>
      <w:proofErr w:type="spellEnd"/>
      <w:r>
        <w:t xml:space="preserve"> a tradície, materinského jazyka príslušníkov národnostných menšín – národnostných spoločenstiev</w:t>
      </w:r>
      <w:r>
        <w:rPr>
          <w:b w:val="0"/>
        </w:rPr>
        <w:t xml:space="preserve">  </w:t>
      </w:r>
    </w:p>
    <w:p w:rsidR="00381B06" w:rsidRDefault="009164DF" w:rsidP="00CB3C28">
      <w:pPr>
        <w:spacing w:after="0" w:line="279" w:lineRule="auto"/>
        <w:ind w:left="1260" w:right="1345" w:firstLine="0"/>
        <w:jc w:val="left"/>
      </w:pPr>
      <w:r>
        <w:t xml:space="preserve">– vytváranie podmienok pre žiakov príslušníkov rôznych národnostných spoločenstiev, aby sa lepšie navzájom spoznali a získavali ďalšie poznatky o </w:t>
      </w:r>
      <w:r w:rsidR="00CB3C28">
        <w:t>dejinách</w:t>
      </w:r>
      <w:r>
        <w:t xml:space="preserve">, kultúre a ďalších dôležitých </w:t>
      </w:r>
      <w:r w:rsidR="00CB3C28">
        <w:t>skutočnostiach</w:t>
      </w:r>
      <w:r>
        <w:t xml:space="preserve"> o koexistencii, posilňovan</w:t>
      </w:r>
      <w:r w:rsidR="00CB3C28">
        <w:t>ie</w:t>
      </w:r>
      <w:r>
        <w:t xml:space="preserve"> </w:t>
      </w:r>
      <w:proofErr w:type="spellStart"/>
      <w:r>
        <w:t>medzietnickej</w:t>
      </w:r>
      <w:proofErr w:type="spellEnd"/>
      <w:r>
        <w:t xml:space="preserve"> dôvery.  </w:t>
      </w:r>
    </w:p>
    <w:p w:rsidR="00381B06" w:rsidRDefault="009164DF">
      <w:pPr>
        <w:spacing w:after="49" w:line="259" w:lineRule="auto"/>
        <w:ind w:left="1351" w:firstLine="0"/>
        <w:jc w:val="left"/>
      </w:pPr>
      <w:r>
        <w:t xml:space="preserve"> </w:t>
      </w:r>
    </w:p>
    <w:p w:rsidR="00381B06" w:rsidRDefault="009164DF">
      <w:pPr>
        <w:pStyle w:val="Heading1"/>
        <w:spacing w:after="67"/>
        <w:ind w:left="525" w:right="1425" w:hanging="360"/>
      </w:pPr>
      <w:r>
        <w:t xml:space="preserve">Podporovanie </w:t>
      </w:r>
      <w:proofErr w:type="spellStart"/>
      <w:r>
        <w:t>inkluzívneho</w:t>
      </w:r>
      <w:proofErr w:type="spellEnd"/>
      <w:r>
        <w:t xml:space="preserve"> vzdelávania a predchádzanie predčasnému ukončeniu formálneho vzdelávania  </w:t>
      </w:r>
    </w:p>
    <w:p w:rsidR="00381B06" w:rsidRDefault="009164DF" w:rsidP="00CB3C28">
      <w:pPr>
        <w:pStyle w:val="ListParagraph"/>
        <w:numPr>
          <w:ilvl w:val="0"/>
          <w:numId w:val="5"/>
        </w:numPr>
        <w:ind w:right="1432"/>
      </w:pPr>
      <w:r>
        <w:t xml:space="preserve">spoločenské začlenenie a rozvoj žiakov (s vývojovým postihnutím, špecifickými poruchami učenia a žiakov zo sociálne citlivých skupín), ako aj predchádzanie predčasnému </w:t>
      </w:r>
      <w:r w:rsidR="00CB3C28">
        <w:t>ukončeniu</w:t>
      </w:r>
      <w:r>
        <w:t xml:space="preserve"> formálneho vzdelávania; </w:t>
      </w:r>
    </w:p>
    <w:p w:rsidR="00381B06" w:rsidRDefault="009164DF" w:rsidP="00CB3C28">
      <w:pPr>
        <w:pStyle w:val="ListParagraph"/>
        <w:numPr>
          <w:ilvl w:val="0"/>
          <w:numId w:val="5"/>
        </w:numPr>
        <w:ind w:right="1432"/>
      </w:pPr>
      <w:r>
        <w:t>podpora žiakov s výnimočnými schopnosťami, rozvoj talentov v súlade s ich výchovno-vzdelávacími potrebami (prispôsobením spôsobov a podmienok práce, obohacovaním a rozširovaním učebného obsahu, súťaženiami žiakov</w:t>
      </w:r>
      <w:r w:rsidR="00CB3C28">
        <w:t>, ktoré nie sú</w:t>
      </w:r>
      <w:r>
        <w:t xml:space="preserve"> organizovan</w:t>
      </w:r>
      <w:r w:rsidR="00CB3C28">
        <w:t>é</w:t>
      </w:r>
      <w:r>
        <w:t xml:space="preserve"> Ministerstvom školstva, vedy a technologického rozvoja (medziregionálne, medzinárodné). </w:t>
      </w:r>
    </w:p>
    <w:p w:rsidR="00CB3C28" w:rsidRDefault="00CB3C28" w:rsidP="00CB3C28">
      <w:pPr>
        <w:pStyle w:val="ListParagraph"/>
        <w:ind w:left="493" w:right="1432" w:firstLine="0"/>
      </w:pPr>
    </w:p>
    <w:p w:rsidR="00381B06" w:rsidRDefault="009164DF">
      <w:pPr>
        <w:pStyle w:val="Heading1"/>
        <w:spacing w:after="67"/>
        <w:ind w:left="525" w:right="1425" w:hanging="360"/>
      </w:pPr>
      <w:r>
        <w:t xml:space="preserve">Podpora mimoškolských aktivít </w:t>
      </w:r>
    </w:p>
    <w:p w:rsidR="00381B06" w:rsidRDefault="009164DF" w:rsidP="00CB3C28">
      <w:pPr>
        <w:spacing w:after="24"/>
        <w:ind w:left="450" w:right="1618" w:firstLine="0"/>
      </w:pPr>
      <w:r>
        <w:t xml:space="preserve">- organizované a odborné usmerňovanie voľného času žiakov  mimoškolského obdobia a počas školských prázdnin prostredníctvom vzdelávacích táborov, stretnutí žiakov, </w:t>
      </w:r>
      <w:r w:rsidR="00CB3C28">
        <w:t>krúžkov</w:t>
      </w:r>
      <w:r>
        <w:t xml:space="preserve">, športových, vedeckých a technických, kultúrnych a iných obsahov).  </w:t>
      </w:r>
    </w:p>
    <w:p w:rsidR="00381B06" w:rsidRDefault="009164DF">
      <w:pPr>
        <w:spacing w:after="18" w:line="259" w:lineRule="auto"/>
        <w:ind w:left="1351" w:firstLine="0"/>
        <w:jc w:val="left"/>
      </w:pPr>
      <w:r>
        <w:t xml:space="preserve"> </w:t>
      </w:r>
    </w:p>
    <w:p w:rsidR="00381B06" w:rsidRDefault="009164DF">
      <w:pPr>
        <w:spacing w:after="102" w:line="259" w:lineRule="auto"/>
        <w:ind w:left="0" w:right="1573" w:firstLine="0"/>
        <w:jc w:val="center"/>
      </w:pPr>
      <w:r>
        <w:t xml:space="preserve"> </w:t>
      </w:r>
    </w:p>
    <w:p w:rsidR="00381B06" w:rsidRDefault="009164DF">
      <w:pPr>
        <w:pStyle w:val="Heading1"/>
        <w:numPr>
          <w:ilvl w:val="0"/>
          <w:numId w:val="0"/>
        </w:numPr>
        <w:spacing w:after="100" w:line="259" w:lineRule="auto"/>
        <w:ind w:left="10" w:right="1627"/>
        <w:jc w:val="center"/>
      </w:pPr>
      <w:r>
        <w:t xml:space="preserve">KRITÉRIÁ PRIDELENIA FINANČNÝCH PROSTRIEDKOV </w:t>
      </w:r>
    </w:p>
    <w:p w:rsidR="00381B06" w:rsidRDefault="009164DF">
      <w:pPr>
        <w:spacing w:after="8"/>
        <w:ind w:left="576" w:right="1432"/>
      </w:pPr>
      <w:r>
        <w:t xml:space="preserve">Pri určovaní výšky prostriedkov platia tieto kritériá: </w:t>
      </w:r>
    </w:p>
    <w:tbl>
      <w:tblPr>
        <w:tblStyle w:val="TableGrid"/>
        <w:tblW w:w="8462" w:type="dxa"/>
        <w:tblInd w:w="283" w:type="dxa"/>
        <w:tblCellMar>
          <w:top w:w="47" w:type="dxa"/>
          <w:left w:w="91" w:type="dxa"/>
          <w:right w:w="72" w:type="dxa"/>
        </w:tblCellMar>
        <w:tblLook w:val="04A0" w:firstRow="1" w:lastRow="0" w:firstColumn="1" w:lastColumn="0" w:noHBand="0" w:noVBand="1"/>
      </w:tblPr>
      <w:tblGrid>
        <w:gridCol w:w="1171"/>
        <w:gridCol w:w="6213"/>
        <w:gridCol w:w="1078"/>
      </w:tblGrid>
      <w:tr w:rsidR="00381B06">
        <w:trPr>
          <w:trHeight w:val="530"/>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46" w:right="22" w:firstLine="0"/>
              <w:jc w:val="center"/>
            </w:pPr>
            <w:r>
              <w:t xml:space="preserve">Poradové číslo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7" w:firstLine="0"/>
              <w:jc w:val="center"/>
            </w:pPr>
            <w:r>
              <w:t xml:space="preserve">Kritériá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3" w:firstLine="0"/>
              <w:jc w:val="center"/>
            </w:pPr>
            <w:r>
              <w:t xml:space="preserve">Body </w:t>
            </w:r>
          </w:p>
          <w:p w:rsidR="00381B06" w:rsidRDefault="009164DF">
            <w:pPr>
              <w:spacing w:after="0" w:line="259" w:lineRule="auto"/>
              <w:ind w:left="24" w:firstLine="0"/>
              <w:jc w:val="center"/>
            </w:pPr>
            <w:r>
              <w:t xml:space="preserve"> </w:t>
            </w:r>
          </w:p>
        </w:tc>
      </w:tr>
      <w:tr w:rsidR="00381B06">
        <w:trPr>
          <w:trHeight w:val="530"/>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1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firstLine="0"/>
              <w:jc w:val="left"/>
            </w:pPr>
            <w:r>
              <w:t xml:space="preserve">Ciele a aktivity programu/projektu sú v súlade s prioritami súbehu;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 – 30 </w:t>
            </w:r>
          </w:p>
        </w:tc>
      </w:tr>
      <w:tr w:rsidR="00381B06">
        <w:trPr>
          <w:trHeight w:val="271"/>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2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jc w:val="left"/>
            </w:pPr>
            <w:r>
              <w:t xml:space="preserve">Ciele programu/projektu sú jasné, konkrétne a dosiahnuteľné;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 – 10 </w:t>
            </w:r>
          </w:p>
        </w:tc>
      </w:tr>
      <w:tr w:rsidR="00381B06">
        <w:trPr>
          <w:trHeight w:val="271"/>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3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jc w:val="left"/>
            </w:pPr>
            <w:r>
              <w:t xml:space="preserve">Aktivity sú reálne a primerané na dosiahnutie cieľov;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 – 10 </w:t>
            </w:r>
          </w:p>
        </w:tc>
      </w:tr>
      <w:tr w:rsidR="00381B06">
        <w:trPr>
          <w:trHeight w:val="530"/>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4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jc w:val="left"/>
            </w:pPr>
            <w:r>
              <w:t xml:space="preserve">Uplatnený je inovatívny prístup v plánovaní aktivít, ktorými sa prenášajú poznatky  a skúsenosti škôl a občianskych združení do širšej komunity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 – 10 </w:t>
            </w:r>
          </w:p>
        </w:tc>
      </w:tr>
      <w:tr w:rsidR="00381B06">
        <w:trPr>
          <w:trHeight w:val="271"/>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6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0A6033">
            <w:pPr>
              <w:spacing w:after="0" w:line="259" w:lineRule="auto"/>
              <w:ind w:left="14" w:firstLine="0"/>
              <w:jc w:val="left"/>
            </w:pPr>
            <w:r>
              <w:t>Viditeľnosť</w:t>
            </w:r>
            <w:r w:rsidR="009164DF">
              <w:t xml:space="preserve"> programu/projektu;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 – 10 </w:t>
            </w:r>
          </w:p>
        </w:tc>
      </w:tr>
      <w:tr w:rsidR="00381B06">
        <w:trPr>
          <w:trHeight w:val="269"/>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7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jc w:val="left"/>
            </w:pPr>
            <w:r>
              <w:t xml:space="preserve">Udržateľnosť výsledkov programu/projektu;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 – 10 </w:t>
            </w:r>
          </w:p>
        </w:tc>
      </w:tr>
      <w:tr w:rsidR="00381B06">
        <w:trPr>
          <w:trHeight w:val="530"/>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8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jc w:val="left"/>
            </w:pPr>
            <w:r>
              <w:t xml:space="preserve">Zapojenie partnerských inštitúcií do realizácie programu/projektu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 – 10 </w:t>
            </w:r>
          </w:p>
        </w:tc>
      </w:tr>
      <w:tr w:rsidR="00381B06">
        <w:trPr>
          <w:trHeight w:val="533"/>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9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pPr>
            <w:r>
              <w:t xml:space="preserve">Predchádzajúce skúsenosti s realizáciou programov/projektov, ktoré prispievajú k zlepšeniu výchovno-vzdelávacej práce.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 – 10 </w:t>
            </w:r>
          </w:p>
        </w:tc>
      </w:tr>
    </w:tbl>
    <w:p w:rsidR="00381B06" w:rsidRDefault="009164DF">
      <w:pPr>
        <w:spacing w:after="0" w:line="259" w:lineRule="auto"/>
        <w:ind w:left="0" w:right="1396" w:firstLine="0"/>
        <w:jc w:val="center"/>
      </w:pPr>
      <w:r>
        <w:rPr>
          <w:b/>
        </w:rPr>
        <w:t xml:space="preserve"> </w:t>
      </w:r>
    </w:p>
    <w:p w:rsidR="00381B06" w:rsidRDefault="009164DF" w:rsidP="00E07879">
      <w:pPr>
        <w:spacing w:after="0" w:line="259" w:lineRule="auto"/>
        <w:ind w:left="566" w:firstLine="0"/>
        <w:jc w:val="left"/>
      </w:pPr>
      <w:r>
        <w:lastRenderedPageBreak/>
        <w:t xml:space="preserve"> </w:t>
      </w:r>
    </w:p>
    <w:p w:rsidR="00381B06" w:rsidRDefault="009164DF">
      <w:pPr>
        <w:spacing w:after="102" w:line="259" w:lineRule="auto"/>
        <w:ind w:left="4421" w:firstLine="0"/>
        <w:jc w:val="left"/>
      </w:pPr>
      <w:r>
        <w:rPr>
          <w:b/>
        </w:rPr>
        <w:t xml:space="preserve"> </w:t>
      </w:r>
    </w:p>
    <w:p w:rsidR="00381B06" w:rsidRDefault="009164DF">
      <w:pPr>
        <w:pStyle w:val="Heading1"/>
        <w:numPr>
          <w:ilvl w:val="0"/>
          <w:numId w:val="0"/>
        </w:numPr>
        <w:spacing w:after="111"/>
        <w:ind w:left="3455" w:right="1425"/>
      </w:pPr>
      <w:r>
        <w:t xml:space="preserve">SPÔSOB </w:t>
      </w:r>
      <w:r w:rsidR="000A6033">
        <w:t>UCHÁDZANIA SA</w:t>
      </w:r>
      <w:r>
        <w:t xml:space="preserve"> </w:t>
      </w:r>
    </w:p>
    <w:p w:rsidR="00381B06" w:rsidRDefault="009164DF">
      <w:pPr>
        <w:spacing w:after="40" w:line="259" w:lineRule="auto"/>
        <w:ind w:left="566" w:firstLine="0"/>
        <w:jc w:val="left"/>
      </w:pPr>
      <w:r>
        <w:t xml:space="preserve"> </w:t>
      </w:r>
    </w:p>
    <w:p w:rsidR="00381B06" w:rsidRDefault="009164DF">
      <w:pPr>
        <w:ind w:left="-15" w:right="1432" w:firstLine="566"/>
      </w:pPr>
      <w:r>
        <w:t xml:space="preserve">Prihláška na súbeh sa podáva na jednotnom tlačive, ktoré je zverejnené na webovej stránke sekretariátu v lehote, ktorá spravidla nemôže byť kratšia ako 15 dní odo dňa zverejnenia súbehu. </w:t>
      </w:r>
    </w:p>
    <w:p w:rsidR="00381B06" w:rsidRDefault="009164DF">
      <w:pPr>
        <w:ind w:left="-15" w:right="1627" w:firstLine="566"/>
      </w:pPr>
      <w:r>
        <w:t xml:space="preserve">Jedna právnická osoba môže podať maximálne dve </w:t>
      </w:r>
      <w:r w:rsidR="000A6033">
        <w:t>prihlášky</w:t>
      </w:r>
      <w:r>
        <w:t xml:space="preserve"> za podmienky, že sa  týkajú rôznych oblastí uvedených v článku 8. pravidiel. V prípade predloženia dvoch žiadostí z tej istej oblasti komisia rozhodne, ktorú z nich zváži. </w:t>
      </w:r>
    </w:p>
    <w:p w:rsidR="00381B06" w:rsidRDefault="009164DF">
      <w:pPr>
        <w:spacing w:line="249" w:lineRule="auto"/>
        <w:ind w:left="576" w:right="1425"/>
      </w:pPr>
      <w:r>
        <w:t xml:space="preserve">Súbeh je otvorený </w:t>
      </w:r>
      <w:r>
        <w:rPr>
          <w:b/>
          <w:bCs/>
        </w:rPr>
        <w:t>od 4. marca do 7. apríla 2026.</w:t>
      </w:r>
      <w:r>
        <w:t xml:space="preserve">         </w:t>
      </w:r>
    </w:p>
    <w:p w:rsidR="00381B06" w:rsidRDefault="009164DF">
      <w:pPr>
        <w:ind w:left="-15" w:right="1618" w:firstLine="566"/>
      </w:pPr>
      <w:r w:rsidRPr="000A6033">
        <w:rPr>
          <w:bCs/>
        </w:rPr>
        <w:t>Komisia nebude rozoberať:</w:t>
      </w:r>
      <w:r>
        <w:t xml:space="preserve"> prihlášky podané neoprávnenými osobami a subjektmi, ktoré nie sú uvedené v súbehu, prihlášky, ktoré sa netýkajú účelov uvedených v súbehu uvedených v článku 2. pravidiel, prihlášky týkajúce sa obstarávania zariadení, investičných vkladov alebo stálych nákladov a bežnej činnosti podávateľa prihlášky, prihlášky od podávateľov prihlášok, ktorí nepredložili správu o výdavkoch a použití pridelených finančných prostriedkov za predchádzajúci rok, alebo u ktorých sa zo správy zistí, že tieto finančné prostriedky vynaložili na neúčelový účel, ako aj prihlášky od podávateľov prihlášok, ktorí si nesplnili svoje povinnosti v rámci predchádzajúcich súbehov sekretariátu, pokiaľ ide o predloženie fotografií alebo video materiálu ako dôkazu o realizovaných aktivitách, prihlášky od podávateľov prihlášok, ktorí nepredložili naratívnu/finančnú správu o realizácii programov/projektov z predchádzajúceho roka v stanovených termínoch, programy alebo projekty, ktorých realizáciu nie je možné uskutočniť počas aktuálneho kalendárneho alebo rozpočtového roka, prihlášky týkajúce sa obstarávania zariadení alebo údržby zariadení, ktoré slúžia na realizáciu projektu, ako aj iné kapitálové náklady.  </w:t>
      </w:r>
    </w:p>
    <w:p w:rsidR="00381B06" w:rsidRDefault="009164DF">
      <w:pPr>
        <w:spacing w:after="42" w:line="259" w:lineRule="auto"/>
        <w:ind w:left="0" w:firstLine="0"/>
        <w:jc w:val="left"/>
      </w:pPr>
      <w:r>
        <w:t xml:space="preserve"> </w:t>
      </w:r>
    </w:p>
    <w:p w:rsidR="00381B06" w:rsidRDefault="009164DF">
      <w:pPr>
        <w:spacing w:after="111" w:line="249" w:lineRule="auto"/>
        <w:ind w:left="0" w:right="1425" w:firstLine="708"/>
      </w:pPr>
      <w:r>
        <w:rPr>
          <w:b/>
        </w:rPr>
        <w:t xml:space="preserve">Ďalšie informácie týkajúce sa realizácie súbehu je možné získať telefonicky na čísle 021/4874876.  </w:t>
      </w:r>
    </w:p>
    <w:p w:rsidR="00381B06" w:rsidRDefault="009164DF">
      <w:pPr>
        <w:spacing w:after="111"/>
        <w:ind w:left="-5" w:right="1432"/>
      </w:pPr>
      <w:r>
        <w:rPr>
          <w:b/>
        </w:rPr>
        <w:t xml:space="preserve">          </w:t>
      </w:r>
      <w:r>
        <w:t xml:space="preserve">O pridelení finančných prostriedkov príjemcom rozhoduje </w:t>
      </w:r>
      <w:proofErr w:type="spellStart"/>
      <w:r>
        <w:t>pokrajinský</w:t>
      </w:r>
      <w:proofErr w:type="spellEnd"/>
      <w:r>
        <w:t xml:space="preserve"> tajomník zodpovedný za </w:t>
      </w:r>
      <w:r w:rsidR="000A6033">
        <w:t xml:space="preserve">úkony </w:t>
      </w:r>
      <w:r>
        <w:t>vzdeláva</w:t>
      </w:r>
      <w:r w:rsidR="000A6033">
        <w:t>nia</w:t>
      </w:r>
      <w:r>
        <w:t xml:space="preserve"> na návrh komisie na realizáciu súbehu, ktorá posudzuje prijaté žiadosti. Komisia si vyhradzuje právo požadovať od žiadateľa dodatočnú dokumentáciu a informácie podľa potreby alebo určiť splnenie dodatočných podmienok na pridelenie finančných prostriedkov.  </w:t>
      </w:r>
    </w:p>
    <w:p w:rsidR="00381B06" w:rsidRDefault="009164DF">
      <w:pPr>
        <w:spacing w:after="114"/>
        <w:ind w:left="-15" w:right="1432" w:firstLine="566"/>
      </w:pPr>
      <w:r>
        <w:t xml:space="preserve">Ak je prihláška podpísaná osobou oprávnenou na základe </w:t>
      </w:r>
      <w:r w:rsidR="000A6033">
        <w:t>splnomocnenia</w:t>
      </w:r>
      <w:r>
        <w:t>, je potrebné priložiť aj riadne podpísané splnomocnenie podpis</w:t>
      </w:r>
      <w:r w:rsidR="000A6033">
        <w:t>ovať</w:t>
      </w:r>
      <w:r>
        <w:t xml:space="preserve">.  </w:t>
      </w:r>
    </w:p>
    <w:p w:rsidR="00381B06" w:rsidRDefault="009164DF">
      <w:pPr>
        <w:spacing w:after="110"/>
        <w:ind w:left="576" w:right="1432"/>
      </w:pPr>
      <w:r>
        <w:t xml:space="preserve">Výsledky súbehu sa uverejňujú na webovej stránke sekretariátu. </w:t>
      </w:r>
    </w:p>
    <w:p w:rsidR="00381B06" w:rsidRDefault="009164DF">
      <w:pPr>
        <w:spacing w:after="0" w:line="259" w:lineRule="auto"/>
        <w:ind w:left="566" w:firstLine="0"/>
        <w:jc w:val="left"/>
      </w:pPr>
      <w:r>
        <w:rPr>
          <w:b/>
        </w:rPr>
        <w:t xml:space="preserve"> </w:t>
      </w:r>
    </w:p>
    <w:p w:rsidR="00381B06" w:rsidRPr="000A6033" w:rsidRDefault="009164DF">
      <w:pPr>
        <w:spacing w:after="0" w:line="259" w:lineRule="auto"/>
        <w:ind w:left="566" w:firstLine="0"/>
        <w:jc w:val="left"/>
      </w:pPr>
      <w:r w:rsidRPr="000A6033">
        <w:rPr>
          <w:b/>
        </w:rPr>
        <w:t xml:space="preserve">Lehota podávania prihlášok na súbeh je do 7. apríla 2026. </w:t>
      </w:r>
    </w:p>
    <w:p w:rsidR="00381B06" w:rsidRDefault="009164DF">
      <w:pPr>
        <w:spacing w:after="0" w:line="259" w:lineRule="auto"/>
        <w:ind w:left="566" w:firstLine="0"/>
        <w:jc w:val="left"/>
      </w:pPr>
      <w:r>
        <w:rPr>
          <w:b/>
        </w:rPr>
        <w:t xml:space="preserve"> </w:t>
      </w:r>
    </w:p>
    <w:p w:rsidR="00381B06" w:rsidRDefault="000A6033">
      <w:pPr>
        <w:spacing w:after="8"/>
        <w:ind w:left="641" w:right="1432"/>
      </w:pPr>
      <w:r>
        <w:t>Prihláška</w:t>
      </w:r>
      <w:r w:rsidR="009164DF">
        <w:t xml:space="preserve"> sa podáva: </w:t>
      </w:r>
    </w:p>
    <w:p w:rsidR="00381B06" w:rsidRDefault="009164DF">
      <w:pPr>
        <w:spacing w:after="23" w:line="259" w:lineRule="auto"/>
        <w:ind w:left="631" w:firstLine="0"/>
        <w:jc w:val="left"/>
      </w:pPr>
      <w:r>
        <w:t xml:space="preserve"> </w:t>
      </w:r>
    </w:p>
    <w:p w:rsidR="00381B06" w:rsidRDefault="009164DF">
      <w:pPr>
        <w:pStyle w:val="Heading1"/>
        <w:numPr>
          <w:ilvl w:val="0"/>
          <w:numId w:val="0"/>
        </w:numPr>
        <w:ind w:left="900" w:right="1425" w:hanging="449"/>
      </w:pPr>
      <w:r>
        <w:rPr>
          <w:b w:val="0"/>
        </w:rPr>
        <w:t xml:space="preserve">– poštou na adresu: </w:t>
      </w:r>
      <w:r>
        <w:rPr>
          <w:bCs/>
        </w:rPr>
        <w:t xml:space="preserve">POKRAJINSKÝ SEKRETARIÁT VZDELÁVANIA, PREDPISOV, SPRÁVY A NÁRODNOSTNÝCH MENŠÍN – NÁRODNOSTNÝCH SPOLOČENSTIEV, BULVÁR MIHAJLA PUPINA 16, 21000 NOVÝ SAD </w:t>
      </w:r>
      <w:r w:rsidRPr="000A6033">
        <w:rPr>
          <w:b w:val="0"/>
          <w:bCs/>
        </w:rPr>
        <w:t>s označením názvu súbehu,</w:t>
      </w:r>
      <w:r>
        <w:rPr>
          <w:bCs/>
        </w:rPr>
        <w:t xml:space="preserve"> </w:t>
      </w:r>
      <w:r>
        <w:rPr>
          <w:b w:val="0"/>
        </w:rPr>
        <w:t xml:space="preserve">  </w:t>
      </w:r>
    </w:p>
    <w:p w:rsidR="00381B06" w:rsidRDefault="009164DF">
      <w:pPr>
        <w:spacing w:after="23" w:line="259" w:lineRule="auto"/>
        <w:ind w:left="900" w:firstLine="0"/>
        <w:jc w:val="left"/>
      </w:pPr>
      <w:r>
        <w:t xml:space="preserve"> </w:t>
      </w:r>
    </w:p>
    <w:p w:rsidR="00381B06" w:rsidRDefault="009164DF">
      <w:pPr>
        <w:numPr>
          <w:ilvl w:val="0"/>
          <w:numId w:val="3"/>
        </w:numPr>
        <w:spacing w:after="0"/>
        <w:ind w:right="1432" w:hanging="449"/>
      </w:pPr>
      <w:r>
        <w:t xml:space="preserve">osobne odovzdaním na podateľni </w:t>
      </w:r>
      <w:proofErr w:type="spellStart"/>
      <w:r>
        <w:t>pokrajinských</w:t>
      </w:r>
      <w:proofErr w:type="spellEnd"/>
      <w:r>
        <w:t xml:space="preserve"> orgánov správy (na uvedenej adrese) od 9:00 do 14:00 hod.  </w:t>
      </w:r>
    </w:p>
    <w:p w:rsidR="00381B06" w:rsidRDefault="009164DF">
      <w:pPr>
        <w:spacing w:after="23" w:line="259" w:lineRule="auto"/>
        <w:ind w:left="720" w:firstLine="0"/>
        <w:jc w:val="left"/>
      </w:pPr>
      <w:r>
        <w:t xml:space="preserve"> </w:t>
      </w:r>
    </w:p>
    <w:p w:rsidR="00381B06" w:rsidRDefault="009164DF">
      <w:pPr>
        <w:numPr>
          <w:ilvl w:val="0"/>
          <w:numId w:val="3"/>
        </w:numPr>
        <w:spacing w:after="0"/>
        <w:ind w:right="1432" w:hanging="449"/>
      </w:pPr>
      <w:r>
        <w:t xml:space="preserve">alebo prostredníctvom aplikácie sekretariátu eKonkursi.vojvodina.gov.rs výberom zodpovedajúceho súbehu, na ktorý sa vzťahuje prihláška. </w:t>
      </w:r>
    </w:p>
    <w:p w:rsidR="00381B06" w:rsidRDefault="009164DF">
      <w:pPr>
        <w:spacing w:after="0" w:line="242" w:lineRule="auto"/>
        <w:ind w:left="0" w:right="9701" w:firstLine="0"/>
        <w:jc w:val="left"/>
      </w:pPr>
      <w:r>
        <w:t xml:space="preserve">  </w:t>
      </w:r>
    </w:p>
    <w:p w:rsidR="00381B06" w:rsidRDefault="009164DF">
      <w:pPr>
        <w:spacing w:after="0" w:line="259" w:lineRule="auto"/>
        <w:ind w:left="566" w:firstLine="0"/>
        <w:jc w:val="left"/>
      </w:pPr>
      <w:r>
        <w:rPr>
          <w:b/>
          <w:color w:val="00B0F0"/>
        </w:rPr>
        <w:t xml:space="preserve"> </w:t>
      </w:r>
    </w:p>
    <w:p w:rsidR="00381B06" w:rsidRDefault="009164DF">
      <w:pPr>
        <w:spacing w:after="0" w:line="259" w:lineRule="auto"/>
        <w:ind w:left="0" w:right="-17" w:firstLine="0"/>
      </w:pPr>
      <w:r>
        <w:rPr>
          <w:b/>
        </w:rPr>
        <w:t xml:space="preserve">                                                                                                                                                                                                                                        </w:t>
      </w:r>
    </w:p>
    <w:p w:rsidR="00381B06" w:rsidRDefault="009164DF">
      <w:pPr>
        <w:pStyle w:val="Heading1"/>
        <w:numPr>
          <w:ilvl w:val="0"/>
          <w:numId w:val="0"/>
        </w:numPr>
        <w:tabs>
          <w:tab w:val="center" w:pos="7199"/>
        </w:tabs>
        <w:ind w:right="0"/>
        <w:jc w:val="left"/>
      </w:pPr>
      <w:r>
        <w:rPr>
          <w:b w:val="0"/>
        </w:rPr>
        <w:t xml:space="preserve"> </w:t>
      </w:r>
      <w:r>
        <w:rPr>
          <w:b w:val="0"/>
        </w:rPr>
        <w:tab/>
      </w:r>
      <w:r>
        <w:t xml:space="preserve">                   POKRAJINSKÝ TAJOMNÍK </w:t>
      </w:r>
    </w:p>
    <w:p w:rsidR="000A6033" w:rsidRDefault="000A6033">
      <w:pPr>
        <w:spacing w:after="0" w:line="259" w:lineRule="auto"/>
        <w:ind w:left="5051"/>
        <w:jc w:val="center"/>
      </w:pPr>
    </w:p>
    <w:p w:rsidR="00381B06" w:rsidRDefault="009164DF">
      <w:pPr>
        <w:spacing w:after="0" w:line="259" w:lineRule="auto"/>
        <w:ind w:left="5051"/>
        <w:jc w:val="center"/>
      </w:pPr>
      <w:bookmarkStart w:id="0" w:name="_GoBack"/>
      <w:bookmarkEnd w:id="0"/>
      <w:r>
        <w:t xml:space="preserve">Róbert </w:t>
      </w:r>
      <w:proofErr w:type="spellStart"/>
      <w:r>
        <w:t>Ótott</w:t>
      </w:r>
      <w:proofErr w:type="spellEnd"/>
      <w:r>
        <w:t xml:space="preserve"> </w:t>
      </w:r>
    </w:p>
    <w:p w:rsidR="00381B06" w:rsidRDefault="009164DF">
      <w:pPr>
        <w:ind w:left="6441" w:right="1432"/>
      </w:pPr>
      <w:r>
        <w:t xml:space="preserve">                 </w:t>
      </w:r>
    </w:p>
    <w:sectPr w:rsidR="00381B06">
      <w:pgSz w:w="11906" w:h="16838"/>
      <w:pgMar w:top="995" w:right="0" w:bottom="11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62306"/>
    <w:multiLevelType w:val="hybridMultilevel"/>
    <w:tmpl w:val="9A58A63E"/>
    <w:lvl w:ilvl="0" w:tplc="01E862E6">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80D5AA">
      <w:start w:val="1"/>
      <w:numFmt w:val="bullet"/>
      <w:lvlText w:val="o"/>
      <w:lvlJc w:val="left"/>
      <w:pPr>
        <w:ind w:left="15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7ED9C6">
      <w:start w:val="1"/>
      <w:numFmt w:val="bullet"/>
      <w:lvlText w:val="▪"/>
      <w:lvlJc w:val="left"/>
      <w:pPr>
        <w:ind w:left="2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4AF148">
      <w:start w:val="1"/>
      <w:numFmt w:val="bullet"/>
      <w:lvlText w:val="•"/>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1869A8">
      <w:start w:val="1"/>
      <w:numFmt w:val="bullet"/>
      <w:lvlText w:val="o"/>
      <w:lvlJc w:val="left"/>
      <w:pPr>
        <w:ind w:left="3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70A724">
      <w:start w:val="1"/>
      <w:numFmt w:val="bullet"/>
      <w:lvlText w:val="▪"/>
      <w:lvlJc w:val="left"/>
      <w:pPr>
        <w:ind w:left="4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D043B2">
      <w:start w:val="1"/>
      <w:numFmt w:val="bullet"/>
      <w:lvlText w:val="•"/>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C2738A">
      <w:start w:val="1"/>
      <w:numFmt w:val="bullet"/>
      <w:lvlText w:val="o"/>
      <w:lvlJc w:val="left"/>
      <w:pPr>
        <w:ind w:left="5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5AE4DC">
      <w:start w:val="1"/>
      <w:numFmt w:val="bullet"/>
      <w:lvlText w:val="▪"/>
      <w:lvlJc w:val="left"/>
      <w:pPr>
        <w:ind w:left="6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1F21657"/>
    <w:multiLevelType w:val="hybridMultilevel"/>
    <w:tmpl w:val="68527A22"/>
    <w:lvl w:ilvl="0" w:tplc="D40C5908">
      <w:start w:val="1"/>
      <w:numFmt w:val="decimal"/>
      <w:pStyle w:val="Heading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D406BEC">
      <w:start w:val="1"/>
      <w:numFmt w:val="lowerLetter"/>
      <w:lvlText w:val="%2"/>
      <w:lvlJc w:val="left"/>
      <w:pPr>
        <w:ind w:left="12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7242B8E">
      <w:start w:val="1"/>
      <w:numFmt w:val="lowerRoman"/>
      <w:lvlText w:val="%3"/>
      <w:lvlJc w:val="left"/>
      <w:pPr>
        <w:ind w:left="19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CCCC706">
      <w:start w:val="1"/>
      <w:numFmt w:val="decimal"/>
      <w:lvlText w:val="%4"/>
      <w:lvlJc w:val="left"/>
      <w:pPr>
        <w:ind w:left="27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43ECBC6">
      <w:start w:val="1"/>
      <w:numFmt w:val="lowerLetter"/>
      <w:lvlText w:val="%5"/>
      <w:lvlJc w:val="left"/>
      <w:pPr>
        <w:ind w:left="34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B78525E">
      <w:start w:val="1"/>
      <w:numFmt w:val="lowerRoman"/>
      <w:lvlText w:val="%6"/>
      <w:lvlJc w:val="left"/>
      <w:pPr>
        <w:ind w:left="41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490FC5C">
      <w:start w:val="1"/>
      <w:numFmt w:val="decimal"/>
      <w:lvlText w:val="%7"/>
      <w:lvlJc w:val="left"/>
      <w:pPr>
        <w:ind w:left="48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B3A98FE">
      <w:start w:val="1"/>
      <w:numFmt w:val="lowerLetter"/>
      <w:lvlText w:val="%8"/>
      <w:lvlJc w:val="left"/>
      <w:pPr>
        <w:ind w:left="55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2AA4320">
      <w:start w:val="1"/>
      <w:numFmt w:val="lowerRoman"/>
      <w:lvlText w:val="%9"/>
      <w:lvlJc w:val="left"/>
      <w:pPr>
        <w:ind w:left="63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5E36D9"/>
    <w:multiLevelType w:val="hybridMultilevel"/>
    <w:tmpl w:val="C09A603A"/>
    <w:lvl w:ilvl="0" w:tplc="2B3E3EE0">
      <w:start w:val="1"/>
      <w:numFmt w:val="bullet"/>
      <w:lvlText w:val="•"/>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D8CB2E">
      <w:start w:val="1"/>
      <w:numFmt w:val="bullet"/>
      <w:lvlText w:val="o"/>
      <w:lvlJc w:val="left"/>
      <w:pPr>
        <w:ind w:left="1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3CD2FA">
      <w:start w:val="1"/>
      <w:numFmt w:val="bullet"/>
      <w:lvlText w:val="▪"/>
      <w:lvlJc w:val="left"/>
      <w:pPr>
        <w:ind w:left="2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4649C8">
      <w:start w:val="1"/>
      <w:numFmt w:val="bullet"/>
      <w:lvlText w:val="•"/>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C65F76">
      <w:start w:val="1"/>
      <w:numFmt w:val="bullet"/>
      <w:lvlText w:val="o"/>
      <w:lvlJc w:val="left"/>
      <w:pPr>
        <w:ind w:left="3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2A65E2">
      <w:start w:val="1"/>
      <w:numFmt w:val="bullet"/>
      <w:lvlText w:val="▪"/>
      <w:lvlJc w:val="left"/>
      <w:pPr>
        <w:ind w:left="4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A4A5B4">
      <w:start w:val="1"/>
      <w:numFmt w:val="bullet"/>
      <w:lvlText w:val="•"/>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7AACD8">
      <w:start w:val="1"/>
      <w:numFmt w:val="bullet"/>
      <w:lvlText w:val="o"/>
      <w:lvlJc w:val="left"/>
      <w:pPr>
        <w:ind w:left="6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683BF0">
      <w:start w:val="1"/>
      <w:numFmt w:val="bullet"/>
      <w:lvlText w:val="▪"/>
      <w:lvlJc w:val="left"/>
      <w:pPr>
        <w:ind w:left="6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DC92844"/>
    <w:multiLevelType w:val="hybridMultilevel"/>
    <w:tmpl w:val="E53018E0"/>
    <w:lvl w:ilvl="0" w:tplc="A5483B20">
      <w:start w:val="1"/>
      <w:numFmt w:val="bullet"/>
      <w:lvlText w:val="•"/>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AE63F6">
      <w:start w:val="1"/>
      <w:numFmt w:val="bullet"/>
      <w:lvlText w:val="o"/>
      <w:lvlJc w:val="left"/>
      <w:pPr>
        <w:ind w:left="1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5C3ACA">
      <w:start w:val="1"/>
      <w:numFmt w:val="bullet"/>
      <w:lvlText w:val="▪"/>
      <w:lvlJc w:val="left"/>
      <w:pPr>
        <w:ind w:left="2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8049A4">
      <w:start w:val="1"/>
      <w:numFmt w:val="bullet"/>
      <w:lvlText w:val="•"/>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F0791E">
      <w:start w:val="1"/>
      <w:numFmt w:val="bullet"/>
      <w:lvlText w:val="o"/>
      <w:lvlJc w:val="left"/>
      <w:pPr>
        <w:ind w:left="3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8AE202">
      <w:start w:val="1"/>
      <w:numFmt w:val="bullet"/>
      <w:lvlText w:val="▪"/>
      <w:lvlJc w:val="left"/>
      <w:pPr>
        <w:ind w:left="4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AE90A6">
      <w:start w:val="1"/>
      <w:numFmt w:val="bullet"/>
      <w:lvlText w:val="•"/>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9E120E">
      <w:start w:val="1"/>
      <w:numFmt w:val="bullet"/>
      <w:lvlText w:val="o"/>
      <w:lvlJc w:val="left"/>
      <w:pPr>
        <w:ind w:left="6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C23B46">
      <w:start w:val="1"/>
      <w:numFmt w:val="bullet"/>
      <w:lvlText w:val="▪"/>
      <w:lvlJc w:val="left"/>
      <w:pPr>
        <w:ind w:left="6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071BEC"/>
    <w:multiLevelType w:val="hybridMultilevel"/>
    <w:tmpl w:val="CCF678BE"/>
    <w:lvl w:ilvl="0" w:tplc="063A1DCE">
      <w:numFmt w:val="bullet"/>
      <w:lvlText w:val="–"/>
      <w:lvlJc w:val="left"/>
      <w:pPr>
        <w:ind w:left="493" w:hanging="360"/>
      </w:pPr>
      <w:rPr>
        <w:rFonts w:ascii="Calibri" w:eastAsia="Calibri" w:hAnsi="Calibri" w:cs="Calibri" w:hint="default"/>
      </w:rPr>
    </w:lvl>
    <w:lvl w:ilvl="1" w:tplc="04090003" w:tentative="1">
      <w:start w:val="1"/>
      <w:numFmt w:val="bullet"/>
      <w:lvlText w:val="o"/>
      <w:lvlJc w:val="left"/>
      <w:pPr>
        <w:ind w:left="1213" w:hanging="360"/>
      </w:pPr>
      <w:rPr>
        <w:rFonts w:ascii="Courier New" w:hAnsi="Courier New" w:cs="Courier New" w:hint="default"/>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cs="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06"/>
    <w:rsid w:val="000A6033"/>
    <w:rsid w:val="00381B06"/>
    <w:rsid w:val="009164DF"/>
    <w:rsid w:val="00CB3C28"/>
    <w:rsid w:val="00E0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94C6"/>
  <w15:docId w15:val="{8C96B5F4-AE7E-481E-9603-4733E065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0" w:line="250" w:lineRule="auto"/>
      <w:ind w:left="143"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numPr>
        <w:numId w:val="4"/>
      </w:numPr>
      <w:spacing w:after="4" w:line="249" w:lineRule="auto"/>
      <w:ind w:left="143" w:right="2405" w:hanging="10"/>
      <w:jc w:val="both"/>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B3C28"/>
    <w:rPr>
      <w:color w:val="0563C1" w:themeColor="hyperlink"/>
      <w:u w:val="single"/>
    </w:rPr>
  </w:style>
  <w:style w:type="paragraph" w:styleId="ListParagraph">
    <w:name w:val="List Paragraph"/>
    <w:basedOn w:val="Normal"/>
    <w:uiPriority w:val="34"/>
    <w:qFormat/>
    <w:rsid w:val="00CB3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nz@vojvodin&#1072;.gov.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Jovanic</dc:creator>
  <cp:keywords/>
  <cp:lastModifiedBy>Zdenka Valent</cp:lastModifiedBy>
  <cp:revision>4</cp:revision>
  <dcterms:created xsi:type="dcterms:W3CDTF">2026-03-02T14:52:00Z</dcterms:created>
  <dcterms:modified xsi:type="dcterms:W3CDTF">2026-03-03T13:45:00Z</dcterms:modified>
</cp:coreProperties>
</file>