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1EC8" w14:textId="7A9A83F6" w:rsidR="00022E50" w:rsidRPr="00DC2326" w:rsidRDefault="00E27785" w:rsidP="00022E50">
      <w:pPr>
        <w:pStyle w:val="BodyText"/>
        <w:tabs>
          <w:tab w:val="left" w:pos="2880"/>
        </w:tabs>
        <w:rPr>
          <w:rFonts w:asciiTheme="minorHAnsi" w:hAnsiTheme="minorHAnsi" w:cstheme="minorHAnsi"/>
          <w:noProof/>
          <w:sz w:val="20"/>
          <w:szCs w:val="20"/>
        </w:rPr>
      </w:pPr>
      <w:r>
        <w:rPr>
          <w:rFonts w:asciiTheme="minorHAnsi" w:hAnsiTheme="minorHAnsi"/>
          <w:color w:val="000000"/>
          <w:sz w:val="20"/>
          <w:szCs w:val="20"/>
        </w:rPr>
        <w:t xml:space="preserve">      Podľa článku 10 </w:t>
      </w:r>
      <w:r>
        <w:rPr>
          <w:rFonts w:asciiTheme="minorHAnsi" w:hAnsiTheme="minorHAnsi"/>
          <w:sz w:val="20"/>
          <w:szCs w:val="20"/>
        </w:rPr>
        <w:t xml:space="preserve">Pokrajinského parlamentného uznesenia o prideľovaní rozpočtových prostriedkov na financovanie a spolufinancovanie programových aktivít a projektov v oblasti základného a stredného vzdelávania a výchovy a žiackeho štandardu v Autonómnej pokrajine Vojvodine (Úradný vestník APV č. 14/15 a 10/17) a článku 15 a 16 a čl. 24 odsek 2 Pokrajinského parlamentného uznesenia o pokrajinskej správe (Úradný vestník APV č. 37/14, 54/14 ‒ i. uznesenie 37/2016, 29/2017, 24/2019, 66/20, 38/2021 a 22/25) pokrajinský tajomník vzdelávania, predpisov, správy a národnostných menšín – národnostných spoločenstiev  v y n á š a </w:t>
      </w:r>
    </w:p>
    <w:p w14:paraId="631B7198" w14:textId="39445B42" w:rsidR="00AF51CB" w:rsidRPr="00DC2326" w:rsidRDefault="00AF51CB" w:rsidP="007C4F9D">
      <w:pPr>
        <w:pStyle w:val="BodyText"/>
        <w:rPr>
          <w:rFonts w:asciiTheme="minorHAnsi" w:hAnsiTheme="minorHAnsi" w:cstheme="minorHAnsi"/>
          <w:noProof/>
          <w:sz w:val="20"/>
          <w:szCs w:val="20"/>
          <w:lang w:val="sr-Cyrl-RS"/>
        </w:rPr>
      </w:pPr>
    </w:p>
    <w:p w14:paraId="243277DD" w14:textId="75B9DAEC" w:rsidR="00AF51CB" w:rsidRPr="00DC2326" w:rsidRDefault="00AF51CB" w:rsidP="00E27785">
      <w:pPr>
        <w:jc w:val="center"/>
        <w:rPr>
          <w:rFonts w:asciiTheme="minorHAnsi" w:hAnsiTheme="minorHAnsi" w:cstheme="minorHAnsi"/>
          <w:b/>
          <w:bCs/>
          <w:noProof/>
          <w:sz w:val="20"/>
          <w:szCs w:val="20"/>
        </w:rPr>
      </w:pPr>
      <w:r>
        <w:rPr>
          <w:rFonts w:asciiTheme="minorHAnsi" w:hAnsiTheme="minorHAnsi"/>
          <w:b/>
          <w:bCs/>
          <w:sz w:val="20"/>
          <w:szCs w:val="20"/>
        </w:rPr>
        <w:t>PRAVIDLÁ</w:t>
      </w:r>
    </w:p>
    <w:p w14:paraId="3F2D18C0" w14:textId="4E349CD9" w:rsidR="00AF51CB" w:rsidRPr="00DC2326" w:rsidRDefault="00AF51CB" w:rsidP="007C4F9D">
      <w:pPr>
        <w:jc w:val="center"/>
        <w:rPr>
          <w:rFonts w:asciiTheme="minorHAnsi" w:hAnsiTheme="minorHAnsi" w:cstheme="minorHAnsi"/>
          <w:b/>
          <w:caps/>
          <w:noProof/>
          <w:sz w:val="20"/>
          <w:szCs w:val="20"/>
        </w:rPr>
      </w:pPr>
      <w:r>
        <w:rPr>
          <w:rFonts w:asciiTheme="minorHAnsi" w:hAnsiTheme="minorHAnsi"/>
          <w:b/>
          <w:caps/>
          <w:sz w:val="20"/>
          <w:szCs w:val="20"/>
        </w:rPr>
        <w:t xml:space="preserve">O PRIDELENÍ ROZPOČTOVÝCH PROSTRIEDKOV POKRAJINSKÉHO SEKRETARIÁTU VZDELÁVANIA, PREDPISOV, SPRÁVY A NÁRODNOSTNÝCH MENŠÍN – NÁRODNOSTNÝCH SPOLOČENSTIEV NA FINANCOVANIE </w:t>
      </w:r>
      <w:r w:rsidR="006C515A">
        <w:rPr>
          <w:rFonts w:asciiTheme="minorHAnsi" w:hAnsiTheme="minorHAnsi"/>
          <w:b/>
          <w:caps/>
          <w:sz w:val="20"/>
          <w:szCs w:val="20"/>
          <w:lang w:val="sr-Cyrl-RS"/>
        </w:rPr>
        <w:t xml:space="preserve">                        </w:t>
      </w:r>
      <w:r>
        <w:rPr>
          <w:rFonts w:asciiTheme="minorHAnsi" w:hAnsiTheme="minorHAnsi"/>
          <w:b/>
          <w:caps/>
          <w:sz w:val="20"/>
          <w:szCs w:val="20"/>
        </w:rPr>
        <w:t>A SPOLUFINANCOVANIE PROGRAMOV A PROJEKTOV REALIZOVANÝCH ZDRUŽENIAMI, KTORÉ SA TÝKAJÚ OBLASTÍ ZÁKLADNÉHO A STREDNÉHO VZDELÁVANIA A VÝCHOVY V AUTONÓMNEJ POKRAJ</w:t>
      </w:r>
      <w:r w:rsidR="006C515A">
        <w:rPr>
          <w:rFonts w:asciiTheme="minorHAnsi" w:hAnsiTheme="minorHAnsi"/>
          <w:b/>
          <w:caps/>
          <w:sz w:val="20"/>
          <w:szCs w:val="20"/>
        </w:rPr>
        <w:t>INE VOJVODINE NA ROK 2026</w:t>
      </w:r>
    </w:p>
    <w:p w14:paraId="401B51D2" w14:textId="77777777" w:rsidR="00AF51CB" w:rsidRPr="00DC2326" w:rsidRDefault="00AF51CB" w:rsidP="007C4F9D">
      <w:pPr>
        <w:jc w:val="center"/>
        <w:rPr>
          <w:rFonts w:asciiTheme="minorHAnsi" w:hAnsiTheme="minorHAnsi" w:cstheme="minorHAnsi"/>
          <w:b/>
          <w:caps/>
          <w:noProof/>
          <w:sz w:val="20"/>
          <w:szCs w:val="20"/>
          <w:lang w:val="sr-Cyrl-RS"/>
        </w:rPr>
      </w:pPr>
    </w:p>
    <w:p w14:paraId="731EB77C" w14:textId="43CFC88C" w:rsidR="00AF51CB" w:rsidRPr="007C4F9D" w:rsidRDefault="007C4F9D" w:rsidP="007C4F9D">
      <w:pPr>
        <w:jc w:val="center"/>
        <w:rPr>
          <w:rFonts w:asciiTheme="minorHAnsi" w:hAnsiTheme="minorHAnsi" w:cstheme="minorHAnsi"/>
          <w:b/>
          <w:caps/>
          <w:noProof/>
          <w:sz w:val="20"/>
          <w:szCs w:val="20"/>
        </w:rPr>
      </w:pPr>
      <w:r>
        <w:rPr>
          <w:rFonts w:asciiTheme="minorHAnsi" w:hAnsiTheme="minorHAnsi"/>
          <w:b/>
          <w:sz w:val="20"/>
          <w:szCs w:val="20"/>
        </w:rPr>
        <w:t>Všeobecné ustanovenia</w:t>
      </w:r>
    </w:p>
    <w:p w14:paraId="7C71F3D9" w14:textId="6BF2112F" w:rsidR="00AF51CB" w:rsidRDefault="00AF51CB" w:rsidP="007C4F9D">
      <w:pPr>
        <w:ind w:left="360"/>
        <w:jc w:val="center"/>
        <w:rPr>
          <w:rFonts w:asciiTheme="minorHAnsi" w:hAnsiTheme="minorHAnsi" w:cstheme="minorHAnsi"/>
          <w:b/>
          <w:noProof/>
          <w:sz w:val="20"/>
          <w:szCs w:val="20"/>
        </w:rPr>
      </w:pPr>
      <w:r>
        <w:rPr>
          <w:rFonts w:asciiTheme="minorHAnsi" w:hAnsiTheme="minorHAnsi"/>
          <w:b/>
          <w:sz w:val="20"/>
          <w:szCs w:val="20"/>
        </w:rPr>
        <w:t>Článok 1</w:t>
      </w:r>
    </w:p>
    <w:p w14:paraId="408A3B33" w14:textId="77777777" w:rsidR="00021F1D" w:rsidRPr="00DC2326" w:rsidRDefault="00021F1D" w:rsidP="007C4F9D">
      <w:pPr>
        <w:ind w:left="360"/>
        <w:jc w:val="center"/>
        <w:rPr>
          <w:rFonts w:asciiTheme="minorHAnsi" w:hAnsiTheme="minorHAnsi" w:cstheme="minorHAnsi"/>
          <w:b/>
          <w:noProof/>
          <w:sz w:val="20"/>
          <w:szCs w:val="20"/>
          <w:lang w:val="sr-Cyrl-RS"/>
        </w:rPr>
      </w:pPr>
    </w:p>
    <w:p w14:paraId="3AA4C9F0" w14:textId="290AB4F0" w:rsidR="00AF51CB" w:rsidRDefault="00AF51CB" w:rsidP="004377CD">
      <w:pPr>
        <w:ind w:firstLine="360"/>
        <w:jc w:val="both"/>
        <w:rPr>
          <w:rFonts w:asciiTheme="minorHAnsi" w:hAnsiTheme="minorHAnsi" w:cstheme="minorHAnsi"/>
          <w:noProof/>
          <w:sz w:val="20"/>
          <w:szCs w:val="20"/>
        </w:rPr>
      </w:pPr>
      <w:r>
        <w:rPr>
          <w:rFonts w:asciiTheme="minorHAnsi" w:hAnsiTheme="minorHAnsi"/>
          <w:sz w:val="20"/>
          <w:szCs w:val="20"/>
        </w:rPr>
        <w:t xml:space="preserve">Tieto pravidlá určujú spôsob, podmienky, priority a kritériá prideľovania rozpočtových prostriedkov (ďalej len: prostriedky) na financovanie a spolufinancovanie programov a projektov v oblasti základného a stredného vzdelávania a výchovy v Autonómnej pokrajine Vojvodine (ďalej len: AP Vojvodina), ktoré realizujú združenia v súlade s apropriáciami schválenými uznesením o rozpočte Autonómnej pokrajiny Vojvodiny v rámci osobitného oddielu Pokrajinského sekretariátu vzdelávania, predpisov, správy a národnostných menšín – národnostných spoločenstiev (ďalej len: sekretariát). </w:t>
      </w:r>
    </w:p>
    <w:p w14:paraId="5F98F626" w14:textId="3EF2D843" w:rsidR="00C16449" w:rsidRPr="00E27785" w:rsidRDefault="00AF4244" w:rsidP="00AF4244">
      <w:pPr>
        <w:spacing w:before="60" w:after="60"/>
        <w:ind w:right="181"/>
        <w:jc w:val="both"/>
        <w:rPr>
          <w:rFonts w:asciiTheme="minorHAnsi" w:hAnsiTheme="minorHAnsi" w:cstheme="minorHAnsi"/>
          <w:noProof/>
          <w:sz w:val="20"/>
          <w:szCs w:val="20"/>
        </w:rPr>
      </w:pPr>
      <w:r>
        <w:rPr>
          <w:rFonts w:asciiTheme="minorHAnsi" w:hAnsiTheme="minorHAnsi"/>
          <w:sz w:val="20"/>
          <w:szCs w:val="20"/>
        </w:rPr>
        <w:t xml:space="preserve">        Finančnou podporou, ktorá sa týmto súbehom prezentuje alebo chráni verejný záujem určený ustanoveniami článku 6, 7, 8 a 9 Zákona o základoch systému vzdelávania a výchovy (vestník Službeni glasnik RS č. 88/2017, 27/2018 – i. zákony, 10/2019, 6/2020, 129/2021, 92/2023 a 19/25).</w:t>
      </w:r>
    </w:p>
    <w:p w14:paraId="10780215" w14:textId="57741C98" w:rsidR="007C4F9D" w:rsidRPr="007C4F9D" w:rsidRDefault="00AF4244" w:rsidP="004377CD">
      <w:pPr>
        <w:ind w:right="120" w:firstLine="123"/>
        <w:jc w:val="both"/>
        <w:rPr>
          <w:rFonts w:asciiTheme="minorHAnsi" w:hAnsiTheme="minorHAnsi" w:cstheme="minorHAnsi"/>
          <w:noProof/>
          <w:sz w:val="20"/>
          <w:szCs w:val="20"/>
        </w:rPr>
      </w:pPr>
      <w:r>
        <w:rPr>
          <w:rFonts w:asciiTheme="minorHAnsi" w:hAnsiTheme="minorHAnsi"/>
          <w:sz w:val="20"/>
          <w:szCs w:val="20"/>
        </w:rPr>
        <w:t xml:space="preserve">     Všetky pojmy použité v týchto pravidlách v mužskom gramatickom rode zahŕňajú mužský aj ženský rod osoby, na ktorú sa vzťahujú.</w:t>
      </w:r>
    </w:p>
    <w:p w14:paraId="033E9BC6" w14:textId="6106CFD8" w:rsidR="007C4F9D" w:rsidRDefault="007C4F9D" w:rsidP="007C4F9D">
      <w:pPr>
        <w:jc w:val="both"/>
        <w:rPr>
          <w:rFonts w:asciiTheme="minorHAnsi" w:hAnsiTheme="minorHAnsi" w:cstheme="minorHAnsi"/>
          <w:noProof/>
          <w:sz w:val="20"/>
          <w:szCs w:val="20"/>
          <w:lang w:val="sr-Cyrl-RS"/>
        </w:rPr>
      </w:pPr>
    </w:p>
    <w:p w14:paraId="1C2C28DA" w14:textId="7BE5E370" w:rsidR="007C4F9D" w:rsidRPr="007C4F9D" w:rsidRDefault="007C4F9D"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Výška a účel prostriedkov</w:t>
      </w:r>
    </w:p>
    <w:p w14:paraId="6527E326" w14:textId="77777777" w:rsidR="007C4F9D" w:rsidRPr="0069211D" w:rsidRDefault="007C4F9D"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Článok 2</w:t>
      </w:r>
    </w:p>
    <w:p w14:paraId="46420C3C" w14:textId="77777777" w:rsidR="007C4F9D" w:rsidRPr="007C4F9D" w:rsidRDefault="007C4F9D" w:rsidP="007C4F9D">
      <w:pPr>
        <w:widowControl w:val="0"/>
        <w:autoSpaceDE w:val="0"/>
        <w:autoSpaceDN w:val="0"/>
        <w:spacing w:line="230" w:lineRule="auto"/>
        <w:ind w:left="123" w:right="118" w:firstLine="406"/>
        <w:jc w:val="center"/>
        <w:rPr>
          <w:rFonts w:ascii="Calibri" w:hAnsi="Calibri" w:cs="Calibri"/>
          <w:sz w:val="20"/>
          <w:szCs w:val="20"/>
          <w:lang w:val="sr-Cyrl-RS"/>
        </w:rPr>
      </w:pPr>
    </w:p>
    <w:p w14:paraId="2EA1ACB6" w14:textId="1E1E29C3" w:rsidR="007C4F9D" w:rsidRPr="00C16449" w:rsidRDefault="007C4F9D" w:rsidP="007C4F9D">
      <w:pPr>
        <w:tabs>
          <w:tab w:val="left" w:pos="0"/>
        </w:tabs>
        <w:autoSpaceDN w:val="0"/>
        <w:ind w:firstLineChars="359" w:firstLine="718"/>
        <w:jc w:val="both"/>
        <w:rPr>
          <w:rFonts w:ascii="Calibri" w:hAnsi="Calibri" w:cs="Calibri"/>
          <w:sz w:val="20"/>
          <w:szCs w:val="20"/>
        </w:rPr>
      </w:pPr>
      <w:r>
        <w:rPr>
          <w:rFonts w:ascii="Calibri" w:hAnsi="Calibri"/>
          <w:sz w:val="20"/>
          <w:szCs w:val="20"/>
        </w:rPr>
        <w:t>Na uskutočnenie aktivít je naplánovaných celkom: 5 000 000,00 dinárov rozvrhnutých nasledovným spôsobom:</w:t>
      </w:r>
    </w:p>
    <w:p w14:paraId="6C5EC1CC" w14:textId="78EFD00D" w:rsidR="00291FBF" w:rsidRPr="009C33DD" w:rsidRDefault="00291FBF" w:rsidP="00021F1D">
      <w:pPr>
        <w:pStyle w:val="ListParagraph"/>
        <w:numPr>
          <w:ilvl w:val="0"/>
          <w:numId w:val="30"/>
        </w:numPr>
        <w:spacing w:after="0" w:line="240" w:lineRule="auto"/>
        <w:ind w:right="180"/>
        <w:jc w:val="both"/>
        <w:outlineLvl w:val="0"/>
        <w:rPr>
          <w:sz w:val="20"/>
          <w:szCs w:val="20"/>
        </w:rPr>
      </w:pPr>
      <w:r>
        <w:rPr>
          <w:sz w:val="20"/>
          <w:szCs w:val="20"/>
        </w:rPr>
        <w:t xml:space="preserve">pre programy a projekty na úrovni základného vzdelávania – </w:t>
      </w:r>
      <w:r w:rsidRPr="006C515A">
        <w:rPr>
          <w:bCs/>
          <w:sz w:val="20"/>
          <w:szCs w:val="20"/>
        </w:rPr>
        <w:t>3 500 000, 00 dinárov,</w:t>
      </w:r>
    </w:p>
    <w:p w14:paraId="0A3DB1CA" w14:textId="19E1D9DE" w:rsidR="00291FBF" w:rsidRPr="009C33DD" w:rsidRDefault="00291FBF" w:rsidP="00021F1D">
      <w:pPr>
        <w:pStyle w:val="ListParagraph"/>
        <w:numPr>
          <w:ilvl w:val="0"/>
          <w:numId w:val="30"/>
        </w:numPr>
        <w:tabs>
          <w:tab w:val="left" w:pos="851"/>
        </w:tabs>
        <w:ind w:right="180"/>
        <w:jc w:val="both"/>
        <w:rPr>
          <w:sz w:val="20"/>
          <w:szCs w:val="20"/>
        </w:rPr>
      </w:pPr>
      <w:r>
        <w:rPr>
          <w:sz w:val="20"/>
          <w:szCs w:val="20"/>
        </w:rPr>
        <w:t>pre programy a projekty na úrovni stredoškolského vzdelávania –</w:t>
      </w:r>
      <w:r>
        <w:rPr>
          <w:b/>
          <w:bCs/>
          <w:sz w:val="20"/>
          <w:szCs w:val="20"/>
        </w:rPr>
        <w:t xml:space="preserve"> </w:t>
      </w:r>
      <w:r w:rsidRPr="006C515A">
        <w:rPr>
          <w:bCs/>
          <w:sz w:val="20"/>
          <w:szCs w:val="20"/>
        </w:rPr>
        <w:t>1 500 000,00 dinárov.</w:t>
      </w:r>
      <w:r>
        <w:rPr>
          <w:sz w:val="20"/>
          <w:szCs w:val="20"/>
        </w:rPr>
        <w:t xml:space="preserve"> </w:t>
      </w:r>
    </w:p>
    <w:p w14:paraId="6EDC350F" w14:textId="26D73252" w:rsidR="007C4F9D" w:rsidRPr="00021F1D" w:rsidRDefault="00021F1D" w:rsidP="00021F1D">
      <w:pPr>
        <w:tabs>
          <w:tab w:val="left" w:pos="0"/>
        </w:tabs>
        <w:autoSpaceDN w:val="0"/>
        <w:ind w:firstLineChars="359" w:firstLine="718"/>
        <w:jc w:val="center"/>
        <w:rPr>
          <w:rFonts w:ascii="Calibri" w:hAnsi="Calibri" w:cs="Calibri"/>
          <w:b/>
          <w:sz w:val="20"/>
          <w:szCs w:val="20"/>
        </w:rPr>
      </w:pPr>
      <w:r>
        <w:rPr>
          <w:rFonts w:ascii="Calibri" w:hAnsi="Calibri"/>
          <w:b/>
          <w:sz w:val="20"/>
          <w:szCs w:val="20"/>
        </w:rPr>
        <w:t>Spôsob pridelenia prostriedkov</w:t>
      </w:r>
    </w:p>
    <w:p w14:paraId="28B22DB6" w14:textId="120DE893" w:rsidR="00021F1D" w:rsidRDefault="00021F1D" w:rsidP="00021F1D">
      <w:pPr>
        <w:tabs>
          <w:tab w:val="left" w:pos="0"/>
        </w:tabs>
        <w:autoSpaceDN w:val="0"/>
        <w:ind w:firstLineChars="359" w:firstLine="718"/>
        <w:jc w:val="center"/>
        <w:rPr>
          <w:rFonts w:ascii="Calibri" w:hAnsi="Calibri" w:cs="Calibri"/>
          <w:b/>
          <w:sz w:val="20"/>
          <w:szCs w:val="20"/>
        </w:rPr>
      </w:pPr>
      <w:r>
        <w:rPr>
          <w:rFonts w:ascii="Calibri" w:hAnsi="Calibri"/>
          <w:b/>
          <w:sz w:val="20"/>
          <w:szCs w:val="20"/>
        </w:rPr>
        <w:t>Článok 3</w:t>
      </w:r>
    </w:p>
    <w:p w14:paraId="3AA00919" w14:textId="77777777" w:rsidR="00021F1D" w:rsidRPr="00021F1D" w:rsidRDefault="00021F1D" w:rsidP="00021F1D">
      <w:pPr>
        <w:tabs>
          <w:tab w:val="left" w:pos="0"/>
        </w:tabs>
        <w:autoSpaceDN w:val="0"/>
        <w:ind w:firstLineChars="359" w:firstLine="718"/>
        <w:jc w:val="center"/>
        <w:rPr>
          <w:rFonts w:ascii="Calibri" w:hAnsi="Calibri" w:cs="Calibri"/>
          <w:b/>
          <w:sz w:val="20"/>
          <w:szCs w:val="20"/>
          <w:lang w:val="sr-Cyrl-RS"/>
        </w:rPr>
      </w:pPr>
    </w:p>
    <w:p w14:paraId="6DDAC109" w14:textId="77777777" w:rsidR="00291FBF" w:rsidRDefault="00291FBF" w:rsidP="004377CD">
      <w:pPr>
        <w:pStyle w:val="xmsonormal"/>
        <w:spacing w:before="0" w:beforeAutospacing="0" w:after="0" w:afterAutospacing="0"/>
        <w:ind w:firstLine="567"/>
        <w:jc w:val="both"/>
        <w:rPr>
          <w:rFonts w:asciiTheme="minorHAnsi" w:hAnsiTheme="minorHAnsi" w:cstheme="minorHAnsi"/>
          <w:noProof/>
          <w:sz w:val="20"/>
          <w:szCs w:val="20"/>
        </w:rPr>
      </w:pPr>
      <w:r>
        <w:rPr>
          <w:rFonts w:asciiTheme="minorHAnsi" w:hAnsiTheme="minorHAnsi"/>
          <w:sz w:val="20"/>
          <w:szCs w:val="20"/>
        </w:rPr>
        <w:t xml:space="preserve">Programy a projekty uvedené v článku 1 týchto pravidiel sa financujú a spolufinancujú prostredníctvom súbehu (ďalej len: súbeh), ktorý vypisuje sekretariát najmenej raz ročne v súlade s finančným plánom sekretariátu. </w:t>
      </w:r>
    </w:p>
    <w:p w14:paraId="7C2C6097" w14:textId="150F3DEC" w:rsidR="00291FBF" w:rsidRDefault="00291FBF" w:rsidP="004377CD">
      <w:pPr>
        <w:ind w:firstLine="567"/>
        <w:jc w:val="both"/>
        <w:rPr>
          <w:rFonts w:asciiTheme="minorHAnsi" w:hAnsiTheme="minorHAnsi" w:cstheme="minorHAnsi"/>
          <w:noProof/>
          <w:sz w:val="20"/>
          <w:szCs w:val="20"/>
        </w:rPr>
      </w:pPr>
      <w:r>
        <w:rPr>
          <w:rFonts w:asciiTheme="minorHAnsi" w:hAnsiTheme="minorHAnsi"/>
          <w:sz w:val="20"/>
          <w:szCs w:val="20"/>
        </w:rPr>
        <w:t xml:space="preserve">Súbeh obsahuje informácie o názve aktu, na základe ktorého sa súbeh vyhlasuje, výške celkových finančných prostriedkov plánovaných na pridelenie v rámci súbehu, kto sa môže na súbeh prihlásiť a na aké účely, o kritériách, podľa ktorých budú žiadosti do súbehu zoradené, spôsobe a termíne podávania žiadostí do súbehu, ako aj ďalšiu dokumentáciu preukazujúcu splnenie podmienok a kritérií na podanie prihlášky na súbeh.  </w:t>
      </w:r>
    </w:p>
    <w:p w14:paraId="699C617A" w14:textId="4A1099E5" w:rsidR="005050C5" w:rsidRDefault="005050C5" w:rsidP="004377CD">
      <w:pPr>
        <w:ind w:firstLine="567"/>
        <w:jc w:val="both"/>
        <w:rPr>
          <w:rFonts w:asciiTheme="minorHAnsi" w:hAnsiTheme="minorHAnsi" w:cstheme="minorHAnsi"/>
          <w:noProof/>
          <w:sz w:val="20"/>
          <w:szCs w:val="20"/>
        </w:rPr>
      </w:pPr>
      <w:r>
        <w:rPr>
          <w:rFonts w:asciiTheme="minorHAnsi" w:hAnsiTheme="minorHAnsi"/>
          <w:sz w:val="20"/>
          <w:szCs w:val="20"/>
        </w:rPr>
        <w:t>Súbeh sa zverejňuje v Úradnom vestníku Autonómnej pokrajiny Vojvodiny a na oficiálnej webovej stránke sekretariátu a oznámenie o súbehu a adresa webového sídla, na ktorom je zverejnený súbeh, sa zverejňuje najmenej v jednej dennej tlači, ktorá sa distribuuje pre celé územie Srbskej republiky.</w:t>
      </w:r>
    </w:p>
    <w:p w14:paraId="4FB16BAC" w14:textId="4EFA115E" w:rsidR="00BC0966" w:rsidRDefault="005050C5" w:rsidP="006C515A">
      <w:pPr>
        <w:ind w:firstLine="567"/>
        <w:jc w:val="both"/>
        <w:rPr>
          <w:rFonts w:asciiTheme="minorHAnsi" w:hAnsiTheme="minorHAnsi" w:cstheme="minorHAnsi"/>
          <w:noProof/>
          <w:sz w:val="20"/>
          <w:szCs w:val="20"/>
        </w:rPr>
      </w:pPr>
      <w:r>
        <w:rPr>
          <w:rFonts w:asciiTheme="minorHAnsi" w:hAnsiTheme="minorHAnsi"/>
          <w:sz w:val="20"/>
          <w:szCs w:val="20"/>
        </w:rPr>
        <w:t xml:space="preserve">Súbeh alebo oznámenie o verejnom súbehu a adresa webového sídla, na ktorej je zverejnený súbeh, sa môžu zverejniť aj v jazykoch národnostných menšín – národnostných spoločenstiev, ktoré sa úradne používajú v práci orgánov Autonómnej pokrajiny Vojvodiny. </w:t>
      </w:r>
    </w:p>
    <w:p w14:paraId="6A79308B" w14:textId="77777777" w:rsidR="006C515A" w:rsidRPr="006C515A" w:rsidRDefault="006C515A" w:rsidP="006C515A">
      <w:pPr>
        <w:ind w:firstLine="567"/>
        <w:jc w:val="both"/>
        <w:rPr>
          <w:rFonts w:asciiTheme="minorHAnsi" w:hAnsiTheme="minorHAnsi" w:cstheme="minorHAnsi"/>
          <w:noProof/>
          <w:sz w:val="20"/>
          <w:szCs w:val="20"/>
        </w:rPr>
      </w:pPr>
    </w:p>
    <w:p w14:paraId="5EE3CAA3" w14:textId="6CB3FB02" w:rsidR="00AF51CB" w:rsidRP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t>Právo na pridelenie finančných prostriedkov</w:t>
      </w:r>
    </w:p>
    <w:p w14:paraId="63E1AFDF" w14:textId="7ABE12D2" w:rsidR="00AF51CB" w:rsidRDefault="00AF51CB" w:rsidP="007C4F9D">
      <w:pPr>
        <w:jc w:val="center"/>
        <w:rPr>
          <w:rFonts w:asciiTheme="minorHAnsi" w:hAnsiTheme="minorHAnsi" w:cstheme="minorHAnsi"/>
          <w:b/>
          <w:noProof/>
          <w:sz w:val="20"/>
          <w:szCs w:val="20"/>
        </w:rPr>
      </w:pPr>
      <w:r>
        <w:rPr>
          <w:rFonts w:asciiTheme="minorHAnsi" w:hAnsiTheme="minorHAnsi"/>
          <w:b/>
          <w:sz w:val="20"/>
          <w:szCs w:val="20"/>
        </w:rPr>
        <w:t>Článok 4</w:t>
      </w:r>
    </w:p>
    <w:p w14:paraId="68E50304" w14:textId="77777777" w:rsidR="00021F1D" w:rsidRPr="00DC2326" w:rsidRDefault="00021F1D" w:rsidP="007C4F9D">
      <w:pPr>
        <w:jc w:val="center"/>
        <w:rPr>
          <w:rFonts w:asciiTheme="minorHAnsi" w:hAnsiTheme="minorHAnsi" w:cstheme="minorHAnsi"/>
          <w:b/>
          <w:noProof/>
          <w:sz w:val="20"/>
          <w:szCs w:val="20"/>
          <w:lang w:val="sr-Cyrl-RS"/>
        </w:rPr>
      </w:pPr>
    </w:p>
    <w:p w14:paraId="6424E3FD" w14:textId="34B18CB1" w:rsidR="00AF51CB" w:rsidRPr="00021F1D" w:rsidRDefault="00AF51CB" w:rsidP="0069211D">
      <w:pPr>
        <w:ind w:firstLine="708"/>
        <w:jc w:val="both"/>
        <w:rPr>
          <w:rFonts w:asciiTheme="minorHAnsi" w:hAnsiTheme="minorHAnsi" w:cstheme="minorHAnsi"/>
          <w:noProof/>
          <w:sz w:val="20"/>
          <w:szCs w:val="20"/>
        </w:rPr>
      </w:pPr>
      <w:r>
        <w:rPr>
          <w:rFonts w:asciiTheme="minorHAnsi" w:hAnsiTheme="minorHAnsi"/>
          <w:sz w:val="20"/>
          <w:szCs w:val="20"/>
        </w:rPr>
        <w:t xml:space="preserve">Právo na pridelenie prostriedkov majú združenia (dobrovoľné a mimovládne neziskové organizácie) so sídlom na území AP Vojvodiny, ktoré si medzi ciele združenia zaradili aktivity v oblasti vzdelávania (ďalej len: </w:t>
      </w:r>
      <w:r>
        <w:rPr>
          <w:rFonts w:asciiTheme="minorHAnsi" w:hAnsiTheme="minorHAnsi"/>
          <w:sz w:val="20"/>
          <w:szCs w:val="20"/>
        </w:rPr>
        <w:lastRenderedPageBreak/>
        <w:t>príjemcovia), v súlade s Vyhláškou o prostriedkoch na stimuláciu programov alebo chýbajúcu časť prostriedkov na financovanie programov verejného záujmu, ktoré  realizujú združenia (vestník Sl. glasnik SR č. 16/2018).</w:t>
      </w:r>
    </w:p>
    <w:p w14:paraId="5FFA578E" w14:textId="77777777" w:rsidR="006C515A" w:rsidRDefault="0079728B" w:rsidP="0069211D">
      <w:pPr>
        <w:spacing w:before="60" w:after="60"/>
        <w:ind w:right="181" w:firstLine="567"/>
        <w:jc w:val="both"/>
        <w:rPr>
          <w:rFonts w:asciiTheme="minorHAnsi" w:hAnsiTheme="minorHAnsi"/>
          <w:sz w:val="20"/>
          <w:szCs w:val="20"/>
        </w:rPr>
      </w:pPr>
      <w:r>
        <w:rPr>
          <w:rFonts w:asciiTheme="minorHAnsi" w:hAnsiTheme="minorHAnsi"/>
          <w:sz w:val="20"/>
          <w:szCs w:val="20"/>
        </w:rPr>
        <w:t>Pri prideľovaní finančných prostriedkov združeniam sa postupuje v súlade s ustanoveniami Pokynov o povinnosti vymedziť súvislosť medzi stanoveným verejným záujmom a financovaním programov realizovaných združeniami (Úradný vestník APV č. 1/2020).</w:t>
      </w:r>
    </w:p>
    <w:p w14:paraId="4052FB53" w14:textId="26853977" w:rsidR="00AF51CB" w:rsidRPr="00DC2326" w:rsidRDefault="0079728B" w:rsidP="0069211D">
      <w:pPr>
        <w:spacing w:before="60" w:after="60"/>
        <w:ind w:right="181" w:firstLine="567"/>
        <w:jc w:val="both"/>
        <w:rPr>
          <w:rFonts w:asciiTheme="minorHAnsi" w:hAnsiTheme="minorHAnsi" w:cstheme="minorHAnsi"/>
          <w:noProof/>
          <w:sz w:val="20"/>
          <w:szCs w:val="20"/>
        </w:rPr>
      </w:pPr>
      <w:r>
        <w:rPr>
          <w:rFonts w:asciiTheme="minorHAnsi" w:hAnsiTheme="minorHAnsi"/>
          <w:sz w:val="20"/>
          <w:szCs w:val="20"/>
        </w:rPr>
        <w:t xml:space="preserve">                                                                                                                                         </w:t>
      </w:r>
    </w:p>
    <w:p w14:paraId="01A1C12C" w14:textId="07A26C45" w:rsidR="00AF51CB" w:rsidRP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t>Prihlasovanie na súbeh</w:t>
      </w:r>
    </w:p>
    <w:p w14:paraId="19769FA2" w14:textId="7B0A8D8D" w:rsidR="0012726C" w:rsidRDefault="00AF51CB" w:rsidP="007C4F9D">
      <w:pPr>
        <w:jc w:val="center"/>
        <w:rPr>
          <w:rFonts w:asciiTheme="minorHAnsi" w:hAnsiTheme="minorHAnsi" w:cstheme="minorHAnsi"/>
          <w:b/>
          <w:noProof/>
          <w:sz w:val="20"/>
          <w:szCs w:val="20"/>
        </w:rPr>
      </w:pPr>
      <w:r>
        <w:rPr>
          <w:rFonts w:asciiTheme="minorHAnsi" w:hAnsiTheme="minorHAnsi"/>
          <w:b/>
          <w:sz w:val="20"/>
          <w:szCs w:val="20"/>
        </w:rPr>
        <w:t>Článok 5</w:t>
      </w:r>
    </w:p>
    <w:p w14:paraId="5EE54EBC" w14:textId="77777777" w:rsidR="00021F1D" w:rsidRPr="00DC2326" w:rsidRDefault="00021F1D" w:rsidP="007C4F9D">
      <w:pPr>
        <w:jc w:val="center"/>
        <w:rPr>
          <w:rFonts w:asciiTheme="minorHAnsi" w:hAnsiTheme="minorHAnsi" w:cstheme="minorHAnsi"/>
          <w:b/>
          <w:noProof/>
          <w:sz w:val="20"/>
          <w:szCs w:val="20"/>
          <w:lang w:val="sr-Cyrl-RS"/>
        </w:rPr>
      </w:pPr>
    </w:p>
    <w:p w14:paraId="01BD3D2A" w14:textId="2635241C" w:rsidR="00C2111A" w:rsidRPr="00DC2326" w:rsidRDefault="00AF51CB" w:rsidP="00291FBF">
      <w:pPr>
        <w:ind w:firstLine="708"/>
        <w:jc w:val="both"/>
        <w:rPr>
          <w:rFonts w:asciiTheme="minorHAnsi" w:hAnsiTheme="minorHAnsi" w:cstheme="minorHAnsi"/>
          <w:b/>
          <w:noProof/>
          <w:sz w:val="20"/>
          <w:szCs w:val="20"/>
        </w:rPr>
      </w:pPr>
      <w:r>
        <w:rPr>
          <w:rFonts w:asciiTheme="minorHAnsi" w:hAnsiTheme="minorHAnsi"/>
          <w:sz w:val="20"/>
          <w:szCs w:val="20"/>
        </w:rPr>
        <w:t>Prihláška na súbeh sa podáva na jednotnom tlačive, ktoré je zverejnené na webovej stránke sekretariátu v lehote, ktorá spravidla nemôže byť kratšia ako 15 dní odo dňa zverejnenia súbehu.</w:t>
      </w:r>
    </w:p>
    <w:p w14:paraId="586CD3F6" w14:textId="6A6AE062" w:rsidR="00AF51CB" w:rsidRDefault="00AF51CB" w:rsidP="00291FBF">
      <w:pPr>
        <w:ind w:firstLine="708"/>
        <w:jc w:val="both"/>
        <w:rPr>
          <w:rFonts w:asciiTheme="minorHAnsi" w:hAnsiTheme="minorHAnsi" w:cstheme="minorHAnsi"/>
          <w:noProof/>
          <w:sz w:val="20"/>
          <w:szCs w:val="20"/>
        </w:rPr>
      </w:pPr>
      <w:r>
        <w:rPr>
          <w:rFonts w:asciiTheme="minorHAnsi" w:hAnsiTheme="minorHAnsi"/>
          <w:sz w:val="20"/>
          <w:szCs w:val="20"/>
        </w:rPr>
        <w:t>Jedna právnická osoba môže predložiť až dve prihlášky.</w:t>
      </w:r>
    </w:p>
    <w:p w14:paraId="212EF1D6" w14:textId="5C55A9D7" w:rsidR="00882344" w:rsidRPr="00337135" w:rsidRDefault="00337135" w:rsidP="00291FBF">
      <w:pPr>
        <w:ind w:firstLine="708"/>
        <w:jc w:val="both"/>
        <w:rPr>
          <w:rFonts w:asciiTheme="minorHAnsi" w:hAnsiTheme="minorHAnsi" w:cstheme="minorHAnsi"/>
          <w:noProof/>
          <w:sz w:val="20"/>
          <w:szCs w:val="20"/>
        </w:rPr>
      </w:pPr>
      <w:r>
        <w:rPr>
          <w:rFonts w:asciiTheme="minorHAnsi" w:hAnsiTheme="minorHAnsi"/>
          <w:sz w:val="20"/>
          <w:szCs w:val="20"/>
        </w:rPr>
        <w:t>Súbeh je otvorený od 4. marca do 7. apríla 2026.</w:t>
      </w:r>
    </w:p>
    <w:p w14:paraId="4ADADD40" w14:textId="7BF7FE21" w:rsidR="00AA00D2" w:rsidRPr="00AF4244" w:rsidRDefault="00AF51CB" w:rsidP="007C4F9D">
      <w:pPr>
        <w:jc w:val="both"/>
        <w:rPr>
          <w:rFonts w:asciiTheme="minorHAnsi" w:hAnsiTheme="minorHAnsi" w:cstheme="minorHAnsi"/>
          <w:b/>
          <w:noProof/>
          <w:color w:val="FF0000"/>
          <w:sz w:val="20"/>
          <w:szCs w:val="20"/>
        </w:rPr>
      </w:pPr>
      <w:r>
        <w:rPr>
          <w:rFonts w:asciiTheme="minorHAnsi" w:hAnsiTheme="minorHAnsi"/>
          <w:b/>
          <w:color w:val="FF0000"/>
          <w:sz w:val="20"/>
          <w:szCs w:val="20"/>
        </w:rPr>
        <w:t xml:space="preserve">   </w:t>
      </w:r>
    </w:p>
    <w:p w14:paraId="4966C541" w14:textId="6EE9B1FC" w:rsidR="00AF51CB" w:rsidRDefault="00AF51CB" w:rsidP="007C4F9D">
      <w:pPr>
        <w:jc w:val="center"/>
        <w:rPr>
          <w:rFonts w:asciiTheme="minorHAnsi" w:hAnsiTheme="minorHAnsi" w:cstheme="minorHAnsi"/>
          <w:b/>
          <w:noProof/>
          <w:sz w:val="20"/>
          <w:szCs w:val="20"/>
        </w:rPr>
      </w:pPr>
      <w:r>
        <w:rPr>
          <w:rFonts w:asciiTheme="minorHAnsi" w:hAnsiTheme="minorHAnsi"/>
          <w:b/>
          <w:sz w:val="20"/>
          <w:szCs w:val="20"/>
        </w:rPr>
        <w:t xml:space="preserve">Článok 6 </w:t>
      </w:r>
    </w:p>
    <w:p w14:paraId="165E0F54" w14:textId="77777777" w:rsidR="00021F1D" w:rsidRPr="00E61461" w:rsidRDefault="00021F1D" w:rsidP="007C4F9D">
      <w:pPr>
        <w:jc w:val="center"/>
        <w:rPr>
          <w:rFonts w:asciiTheme="minorHAnsi" w:hAnsiTheme="minorHAnsi" w:cstheme="minorHAnsi"/>
          <w:b/>
          <w:noProof/>
          <w:sz w:val="20"/>
          <w:szCs w:val="20"/>
          <w:lang w:val="sr-Cyrl-RS"/>
        </w:rPr>
      </w:pPr>
    </w:p>
    <w:p w14:paraId="06AA22C3" w14:textId="128ABEE4" w:rsidR="00AF51CB" w:rsidRPr="00E61461" w:rsidRDefault="00AF51CB" w:rsidP="00291FBF">
      <w:pPr>
        <w:ind w:firstLine="708"/>
        <w:jc w:val="both"/>
        <w:rPr>
          <w:rFonts w:asciiTheme="minorHAnsi" w:hAnsiTheme="minorHAnsi" w:cstheme="minorHAnsi"/>
          <w:noProof/>
          <w:sz w:val="20"/>
          <w:szCs w:val="20"/>
        </w:rPr>
      </w:pPr>
      <w:r>
        <w:rPr>
          <w:rFonts w:asciiTheme="minorHAnsi" w:hAnsiTheme="minorHAnsi"/>
          <w:sz w:val="20"/>
          <w:szCs w:val="20"/>
        </w:rPr>
        <w:t>S prihláškou na súbeh združenia predkladajú nasledovnú dokumentáciu:</w:t>
      </w:r>
    </w:p>
    <w:p w14:paraId="480445A4" w14:textId="77777777" w:rsidR="00AF51CB" w:rsidRPr="00E61461" w:rsidRDefault="00AF51CB" w:rsidP="00B50DFC">
      <w:pPr>
        <w:numPr>
          <w:ilvl w:val="0"/>
          <w:numId w:val="24"/>
        </w:numPr>
        <w:rPr>
          <w:rFonts w:asciiTheme="minorHAnsi" w:hAnsiTheme="minorHAnsi" w:cstheme="minorHAnsi"/>
          <w:noProof/>
          <w:sz w:val="20"/>
          <w:szCs w:val="20"/>
        </w:rPr>
      </w:pPr>
      <w:r>
        <w:rPr>
          <w:rFonts w:asciiTheme="minorHAnsi" w:hAnsiTheme="minorHAnsi"/>
          <w:sz w:val="20"/>
          <w:szCs w:val="20"/>
        </w:rPr>
        <w:t>fotokópia rozhodnutia о zápise do registra v agentúre obchodných registrov pre združenia;</w:t>
      </w:r>
    </w:p>
    <w:p w14:paraId="1E47FDEE" w14:textId="77777777" w:rsidR="00644E16" w:rsidRPr="00E61461" w:rsidRDefault="00AF51CB" w:rsidP="00B50DFC">
      <w:pPr>
        <w:numPr>
          <w:ilvl w:val="0"/>
          <w:numId w:val="24"/>
        </w:numPr>
        <w:rPr>
          <w:rFonts w:asciiTheme="minorHAnsi" w:hAnsiTheme="minorHAnsi" w:cstheme="minorHAnsi"/>
          <w:noProof/>
          <w:sz w:val="20"/>
          <w:szCs w:val="20"/>
        </w:rPr>
      </w:pPr>
      <w:r>
        <w:rPr>
          <w:rFonts w:asciiTheme="minorHAnsi" w:hAnsiTheme="minorHAnsi"/>
          <w:sz w:val="20"/>
          <w:szCs w:val="20"/>
        </w:rPr>
        <w:t xml:space="preserve">fotokópia potvrdenia o daňovom identifikačnom čísle; </w:t>
      </w:r>
    </w:p>
    <w:p w14:paraId="3846115C" w14:textId="41330D80" w:rsidR="00AA00D2" w:rsidRPr="00E61461" w:rsidRDefault="00AF51CB" w:rsidP="00E61461">
      <w:pPr>
        <w:numPr>
          <w:ilvl w:val="0"/>
          <w:numId w:val="24"/>
        </w:numPr>
        <w:jc w:val="both"/>
        <w:rPr>
          <w:rFonts w:asciiTheme="minorHAnsi" w:hAnsiTheme="minorHAnsi" w:cstheme="minorHAnsi"/>
          <w:noProof/>
          <w:sz w:val="20"/>
          <w:szCs w:val="20"/>
        </w:rPr>
      </w:pPr>
      <w:r>
        <w:rPr>
          <w:rFonts w:asciiTheme="minorHAnsi" w:hAnsiTheme="minorHAnsi"/>
          <w:sz w:val="20"/>
          <w:szCs w:val="20"/>
        </w:rPr>
        <w:t>fotokópia výpisu zo stanov alebo zakladajúcej listiny združenia v časti, v ktorej je uvedené, že ciele združenia sa dosahujú v oblasti vzdelávania a výchovy, overená združením originálnou pečaťou a podpisom oprávnenej osoby združenia, alebo iba podpisom oprávnenej osoby združenia;</w:t>
      </w:r>
    </w:p>
    <w:p w14:paraId="069A7A56" w14:textId="21FDCDCF" w:rsidR="00787739" w:rsidRPr="00E61461" w:rsidRDefault="000D5B41" w:rsidP="00B50DFC">
      <w:pPr>
        <w:numPr>
          <w:ilvl w:val="0"/>
          <w:numId w:val="24"/>
        </w:numPr>
        <w:rPr>
          <w:rFonts w:asciiTheme="minorHAnsi" w:hAnsiTheme="minorHAnsi" w:cstheme="minorHAnsi"/>
          <w:noProof/>
          <w:sz w:val="20"/>
          <w:szCs w:val="20"/>
        </w:rPr>
      </w:pPr>
      <w:r>
        <w:rPr>
          <w:rFonts w:asciiTheme="minorHAnsi" w:hAnsiTheme="minorHAnsi"/>
          <w:sz w:val="20"/>
          <w:szCs w:val="20"/>
        </w:rPr>
        <w:t>dôkaz o tom, že osoba, ktorá podpísala prihlášku na súbeh, je osobou oprávnenou zastupovať združenie</w:t>
      </w:r>
      <w:r w:rsidR="006C515A">
        <w:rPr>
          <w:rFonts w:asciiTheme="minorHAnsi" w:hAnsiTheme="minorHAnsi"/>
          <w:sz w:val="20"/>
          <w:szCs w:val="20"/>
          <w:lang w:val="sr-Cyrl-RS"/>
        </w:rPr>
        <w:t>.</w:t>
      </w:r>
    </w:p>
    <w:p w14:paraId="28D1F781" w14:textId="77777777" w:rsidR="0079728B" w:rsidRDefault="0079728B" w:rsidP="0079728B">
      <w:pPr>
        <w:pStyle w:val="ListParagraph"/>
        <w:rPr>
          <w:rFonts w:asciiTheme="minorHAnsi" w:hAnsiTheme="minorHAnsi" w:cstheme="minorHAnsi"/>
          <w:noProof/>
          <w:sz w:val="20"/>
          <w:szCs w:val="20"/>
          <w:lang w:val="sr-Cyrl-RS"/>
        </w:rPr>
      </w:pPr>
    </w:p>
    <w:p w14:paraId="35ED3F70" w14:textId="1C4ECE79" w:rsidR="00021F1D" w:rsidRDefault="00AF51CB" w:rsidP="00021F1D">
      <w:pPr>
        <w:pStyle w:val="ListParagraph"/>
        <w:spacing w:after="0" w:line="240" w:lineRule="auto"/>
        <w:jc w:val="both"/>
        <w:rPr>
          <w:rFonts w:asciiTheme="minorHAnsi" w:hAnsiTheme="minorHAnsi" w:cstheme="minorHAnsi"/>
          <w:noProof/>
          <w:sz w:val="20"/>
          <w:szCs w:val="20"/>
        </w:rPr>
      </w:pPr>
      <w:r>
        <w:rPr>
          <w:rFonts w:asciiTheme="minorHAnsi" w:hAnsiTheme="minorHAnsi"/>
          <w:sz w:val="20"/>
          <w:szCs w:val="20"/>
        </w:rPr>
        <w:t xml:space="preserve">Sekretariát z úradnej povinnosti získa údaje o skutočnostiach uvedených v bode 1 </w:t>
      </w:r>
    </w:p>
    <w:p w14:paraId="79C7E9BA" w14:textId="52AF9B7F" w:rsidR="00644E16" w:rsidRDefault="00AF51CB" w:rsidP="00021F1D">
      <w:pPr>
        <w:pStyle w:val="ListParagraph"/>
        <w:spacing w:after="0" w:line="240" w:lineRule="auto"/>
        <w:jc w:val="both"/>
        <w:rPr>
          <w:rFonts w:asciiTheme="minorHAnsi" w:hAnsiTheme="minorHAnsi" w:cstheme="minorHAnsi"/>
          <w:noProof/>
          <w:sz w:val="20"/>
          <w:szCs w:val="20"/>
        </w:rPr>
      </w:pPr>
      <w:r>
        <w:rPr>
          <w:rFonts w:asciiTheme="minorHAnsi" w:hAnsiTheme="minorHAnsi"/>
          <w:sz w:val="20"/>
          <w:szCs w:val="20"/>
        </w:rPr>
        <w:t>tohto článku, pokiaľ strana výslovne neuvádza, že údaje získa sama.</w:t>
      </w:r>
    </w:p>
    <w:p w14:paraId="0E853143" w14:textId="77777777" w:rsidR="0079728B" w:rsidRPr="00B50DFC" w:rsidRDefault="0079728B" w:rsidP="0079728B">
      <w:pPr>
        <w:pStyle w:val="ListParagraph"/>
        <w:spacing w:after="0" w:line="240" w:lineRule="auto"/>
        <w:rPr>
          <w:rFonts w:asciiTheme="minorHAnsi" w:hAnsiTheme="minorHAnsi" w:cstheme="minorHAnsi"/>
          <w:noProof/>
          <w:sz w:val="20"/>
          <w:szCs w:val="20"/>
          <w:lang w:val="sr-Cyrl-RS"/>
        </w:rPr>
      </w:pPr>
    </w:p>
    <w:p w14:paraId="5441E847" w14:textId="77777777" w:rsidR="00B625F3" w:rsidRDefault="00B625F3" w:rsidP="00B625F3">
      <w:pPr>
        <w:ind w:firstLine="465"/>
        <w:jc w:val="both"/>
        <w:rPr>
          <w:rFonts w:ascii="Calibri" w:hAnsi="Calibri" w:cs="Calibri"/>
          <w:noProof/>
          <w:sz w:val="20"/>
          <w:szCs w:val="20"/>
        </w:rPr>
      </w:pPr>
      <w:r>
        <w:rPr>
          <w:rFonts w:ascii="Calibri" w:hAnsi="Calibri"/>
          <w:sz w:val="20"/>
          <w:szCs w:val="20"/>
        </w:rPr>
        <w:t>V prípade potreby sekretariát si vyhradzuje právo vyžiadať si od žiadateľa doplňujúcu dokumentáciu a informácie; a ak žiadateľ neodpovie na žiadosť o doplnenie dokumentácie do 8 dní, sekretariát bude považovať žiadosť za neúplnú.</w:t>
      </w:r>
    </w:p>
    <w:p w14:paraId="56024C33" w14:textId="77777777" w:rsidR="005803D3" w:rsidRPr="0056419C" w:rsidRDefault="005803D3" w:rsidP="005803D3">
      <w:pPr>
        <w:tabs>
          <w:tab w:val="left" w:pos="0"/>
        </w:tabs>
        <w:autoSpaceDN w:val="0"/>
        <w:ind w:firstLineChars="359" w:firstLine="718"/>
        <w:jc w:val="both"/>
        <w:rPr>
          <w:rFonts w:ascii="Calibri" w:hAnsi="Calibri" w:cs="Calibri"/>
          <w:sz w:val="22"/>
          <w:szCs w:val="22"/>
        </w:rPr>
      </w:pPr>
      <w:r>
        <w:rPr>
          <w:rFonts w:ascii="Calibri" w:hAnsi="Calibri"/>
          <w:sz w:val="20"/>
          <w:szCs w:val="20"/>
        </w:rPr>
        <w:t xml:space="preserve">Dokumentácia podaná na súbeh sa nevracia. </w:t>
      </w:r>
    </w:p>
    <w:p w14:paraId="11F2BCB1" w14:textId="50815EF8" w:rsidR="00AF51CB" w:rsidRPr="0056419C" w:rsidRDefault="00AF51CB" w:rsidP="007C4F9D">
      <w:pPr>
        <w:rPr>
          <w:rFonts w:asciiTheme="minorHAnsi" w:hAnsiTheme="minorHAnsi" w:cstheme="minorHAnsi"/>
          <w:noProof/>
          <w:sz w:val="20"/>
          <w:szCs w:val="20"/>
          <w:lang w:val="sr-Cyrl-RS"/>
        </w:rPr>
      </w:pPr>
    </w:p>
    <w:p w14:paraId="0E2528BD" w14:textId="3843118C" w:rsidR="00291FBF" w:rsidRP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t>Komisia pre realizáciu súbehu</w:t>
      </w:r>
    </w:p>
    <w:p w14:paraId="788FC98F" w14:textId="77777777" w:rsidR="00021F1D" w:rsidRDefault="00AF51CB" w:rsidP="007C4F9D">
      <w:pPr>
        <w:jc w:val="center"/>
        <w:rPr>
          <w:rFonts w:asciiTheme="minorHAnsi" w:hAnsiTheme="minorHAnsi" w:cstheme="minorHAnsi"/>
          <w:b/>
          <w:noProof/>
          <w:sz w:val="20"/>
          <w:szCs w:val="20"/>
        </w:rPr>
      </w:pPr>
      <w:r>
        <w:rPr>
          <w:rFonts w:asciiTheme="minorHAnsi" w:hAnsiTheme="minorHAnsi"/>
          <w:b/>
          <w:sz w:val="20"/>
          <w:szCs w:val="20"/>
        </w:rPr>
        <w:t>Článok 7</w:t>
      </w:r>
    </w:p>
    <w:p w14:paraId="283D8B06" w14:textId="60F6D680" w:rsidR="00AF51CB" w:rsidRPr="00DC2326" w:rsidRDefault="00AF51CB" w:rsidP="007C4F9D">
      <w:pPr>
        <w:jc w:val="center"/>
        <w:rPr>
          <w:rFonts w:asciiTheme="minorHAnsi" w:hAnsiTheme="minorHAnsi" w:cstheme="minorHAnsi"/>
          <w:b/>
          <w:noProof/>
          <w:sz w:val="20"/>
          <w:szCs w:val="20"/>
        </w:rPr>
      </w:pPr>
      <w:r>
        <w:rPr>
          <w:rFonts w:asciiTheme="minorHAnsi" w:hAnsiTheme="minorHAnsi"/>
          <w:sz w:val="20"/>
          <w:szCs w:val="20"/>
        </w:rPr>
        <w:t xml:space="preserve"> </w:t>
      </w:r>
    </w:p>
    <w:p w14:paraId="3C03A2DA" w14:textId="77777777" w:rsidR="00291FBF" w:rsidRPr="00DC2326" w:rsidRDefault="00291FBF" w:rsidP="00291FBF">
      <w:pPr>
        <w:ind w:firstLine="708"/>
        <w:jc w:val="both"/>
        <w:rPr>
          <w:rFonts w:asciiTheme="minorHAnsi" w:hAnsiTheme="minorHAnsi" w:cstheme="minorHAnsi"/>
          <w:noProof/>
          <w:sz w:val="20"/>
          <w:szCs w:val="20"/>
        </w:rPr>
      </w:pPr>
      <w:r>
        <w:rPr>
          <w:rFonts w:asciiTheme="minorHAnsi" w:hAnsiTheme="minorHAnsi"/>
          <w:sz w:val="20"/>
          <w:szCs w:val="20"/>
        </w:rPr>
        <w:t>Pokrajinský tajomník príslušný pre úkony vzdelávania (ďalej len: pokrajinský tajomník) zriaďuje Komisiu na vykonávanie súbehu na prideľovanie prostriedkov na programy a projekty v oblasti základného a stredného vzdelávania a výchovy (ďalej len: komisia).</w:t>
      </w:r>
    </w:p>
    <w:p w14:paraId="728B4A5A" w14:textId="77777777" w:rsidR="00291FBF" w:rsidRPr="00DC2326" w:rsidRDefault="00291FBF" w:rsidP="00291FBF">
      <w:pPr>
        <w:shd w:val="clear" w:color="auto" w:fill="FFFFFF"/>
        <w:ind w:firstLine="708"/>
        <w:rPr>
          <w:rFonts w:asciiTheme="minorHAnsi" w:hAnsiTheme="minorHAnsi" w:cstheme="minorHAnsi"/>
          <w:noProof/>
          <w:sz w:val="20"/>
          <w:szCs w:val="20"/>
        </w:rPr>
      </w:pPr>
      <w:r>
        <w:rPr>
          <w:rFonts w:asciiTheme="minorHAnsi" w:hAnsiTheme="minorHAnsi"/>
          <w:sz w:val="20"/>
          <w:szCs w:val="20"/>
        </w:rPr>
        <w:t>Členovia komisie sú povinní podpísať vyhlásenie, že nemajú súkromný záujem v súvislosti s prácou a rozhodovaním komisie, resp. uskutočňovaním súbehu (vyhlásenie o nejestvovaní konfliktu záujmov).</w:t>
      </w:r>
    </w:p>
    <w:p w14:paraId="64B051A2" w14:textId="77777777" w:rsidR="00291FBF" w:rsidRPr="00DC2326" w:rsidRDefault="00291FBF" w:rsidP="00291FBF">
      <w:pPr>
        <w:shd w:val="clear" w:color="auto" w:fill="FFFFFF"/>
        <w:ind w:firstLine="708"/>
        <w:jc w:val="both"/>
        <w:rPr>
          <w:rFonts w:asciiTheme="minorHAnsi" w:hAnsiTheme="minorHAnsi" w:cstheme="minorHAnsi"/>
          <w:noProof/>
          <w:sz w:val="20"/>
          <w:szCs w:val="20"/>
        </w:rPr>
      </w:pPr>
      <w:r>
        <w:rPr>
          <w:rFonts w:asciiTheme="minorHAnsi" w:hAnsiTheme="minorHAnsi"/>
          <w:sz w:val="20"/>
          <w:szCs w:val="20"/>
        </w:rPr>
        <w:t>Konflikt záujmov nastáva, ak člen komisie alebo členovia jeho rodiny (manžel/manželka alebo nemanželský partner, dieťa alebo rodič) sú zamestnancami alebo členmi orgánu užívateľa, zúčastňujúceho sa súbehu alebo akejkoľvek inej právnickej osoby akýmkoľvek spôsobom prepojenej so žiadateľom prihlášky alebo vo vzťahu k žiadateľom prihlášky má akýkoľvek materiálny alebo nemateriálny záujem, ktorý je v rozpore s verejným záujmom, a to v prípadoch rodinných väzieb, ekonomických záujmov alebo iného spoločného záujmu.</w:t>
      </w:r>
    </w:p>
    <w:p w14:paraId="5B38A644" w14:textId="77777777" w:rsidR="00291FBF" w:rsidRPr="00DC2326" w:rsidRDefault="00291FBF" w:rsidP="00291FBF">
      <w:pPr>
        <w:shd w:val="clear" w:color="auto" w:fill="FFFFFF"/>
        <w:ind w:firstLine="708"/>
        <w:jc w:val="both"/>
        <w:rPr>
          <w:rFonts w:asciiTheme="minorHAnsi" w:hAnsiTheme="minorHAnsi" w:cstheme="minorHAnsi"/>
          <w:noProof/>
          <w:sz w:val="20"/>
          <w:szCs w:val="20"/>
        </w:rPr>
      </w:pPr>
      <w:r>
        <w:rPr>
          <w:rFonts w:asciiTheme="minorHAnsi" w:hAnsiTheme="minorHAnsi"/>
          <w:sz w:val="20"/>
          <w:szCs w:val="20"/>
        </w:rPr>
        <w:t xml:space="preserve">Člen komisie podpíše vyhlásenie pred prvým úkonom súvisiacim so súbehom. </w:t>
      </w:r>
    </w:p>
    <w:p w14:paraId="6321B477" w14:textId="22BA04BB" w:rsidR="00707390" w:rsidRDefault="00291FBF" w:rsidP="0079728B">
      <w:pPr>
        <w:shd w:val="clear" w:color="auto" w:fill="FFFFFF"/>
        <w:ind w:firstLine="708"/>
        <w:jc w:val="both"/>
        <w:rPr>
          <w:rFonts w:asciiTheme="minorHAnsi" w:hAnsiTheme="minorHAnsi" w:cstheme="minorHAnsi"/>
          <w:noProof/>
          <w:sz w:val="20"/>
          <w:szCs w:val="20"/>
        </w:rPr>
      </w:pPr>
      <w:r>
        <w:rPr>
          <w:rFonts w:asciiTheme="minorHAnsi" w:hAnsiTheme="minorHAnsi"/>
          <w:sz w:val="20"/>
          <w:szCs w:val="20"/>
        </w:rPr>
        <w:t>Pre prípad zistenia, že je v konflikte záujmov, člen komisie je povinný o tom ihneď upovedomiť iných členov komisie a byť vyňatý z ďalšej práce komisie. Sekretariát rozhoduje o riešení konfliktu záujmov v každom prípade samostatne a pri zistení konfliktu záujmov vymenuje do komisie nového člena ako náhradu.</w:t>
      </w:r>
    </w:p>
    <w:p w14:paraId="6B851294" w14:textId="004CEE18" w:rsidR="00021F1D" w:rsidRPr="0079728B" w:rsidRDefault="00021F1D" w:rsidP="006C515A">
      <w:pPr>
        <w:shd w:val="clear" w:color="auto" w:fill="FFFFFF"/>
        <w:jc w:val="both"/>
        <w:rPr>
          <w:rFonts w:asciiTheme="minorHAnsi" w:hAnsiTheme="minorHAnsi" w:cstheme="minorHAnsi"/>
          <w:noProof/>
          <w:sz w:val="20"/>
          <w:szCs w:val="20"/>
          <w:lang w:val="sr-Cyrl-RS"/>
        </w:rPr>
      </w:pPr>
    </w:p>
    <w:p w14:paraId="5BB75AD8" w14:textId="1F796BE4" w:rsid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t>Článok 8</w:t>
      </w:r>
    </w:p>
    <w:p w14:paraId="38EFC4B5" w14:textId="2256C0C6" w:rsidR="00291FBF" w:rsidRDefault="00291FBF" w:rsidP="007C4F9D">
      <w:pPr>
        <w:jc w:val="both"/>
        <w:rPr>
          <w:rFonts w:asciiTheme="minorHAnsi" w:hAnsiTheme="minorHAnsi" w:cstheme="minorHAnsi"/>
          <w:noProof/>
          <w:sz w:val="20"/>
          <w:szCs w:val="20"/>
          <w:lang w:val="sr-Cyrl-RS"/>
        </w:rPr>
      </w:pPr>
    </w:p>
    <w:p w14:paraId="18EBA3B2" w14:textId="6B26B80A" w:rsidR="00765FBF" w:rsidRDefault="00765FBF" w:rsidP="00765FBF">
      <w:pPr>
        <w:spacing w:line="100" w:lineRule="atLeast"/>
        <w:ind w:left="-284" w:right="-431" w:firstLine="283"/>
        <w:jc w:val="both"/>
        <w:rPr>
          <w:rFonts w:asciiTheme="minorHAnsi" w:hAnsiTheme="minorHAnsi" w:cstheme="minorHAnsi"/>
          <w:noProof/>
          <w:sz w:val="20"/>
          <w:szCs w:val="20"/>
        </w:rPr>
      </w:pPr>
      <w:r>
        <w:rPr>
          <w:rFonts w:asciiTheme="minorHAnsi" w:hAnsiTheme="minorHAnsi"/>
          <w:sz w:val="20"/>
          <w:szCs w:val="20"/>
        </w:rPr>
        <w:t>Po uplynutí lehoty na predkladanie prihlášok komisia začne posudzovať prihlášky.</w:t>
      </w:r>
    </w:p>
    <w:p w14:paraId="1093AD8D" w14:textId="77777777" w:rsidR="00021F1D" w:rsidRPr="00C05494" w:rsidRDefault="00021F1D" w:rsidP="00021F1D">
      <w:pPr>
        <w:pStyle w:val="CommentText"/>
        <w:rPr>
          <w:rFonts w:ascii="Calibri" w:eastAsia="Calibri" w:hAnsi="Calibri" w:cs="Calibri"/>
        </w:rPr>
      </w:pPr>
      <w:r>
        <w:rPr>
          <w:rFonts w:ascii="Calibri" w:hAnsi="Calibri"/>
        </w:rPr>
        <w:t>Oneskorené, neúplné, žiadosti, ktoré nie sú podpísané alebo overené, ako aj neprípustné prihlášky komisia nebude posudzovať.</w:t>
      </w:r>
    </w:p>
    <w:p w14:paraId="0C75B98A" w14:textId="77777777" w:rsidR="00021F1D" w:rsidRPr="00C05494" w:rsidRDefault="00021F1D" w:rsidP="00021F1D">
      <w:pPr>
        <w:widowControl w:val="0"/>
        <w:autoSpaceDE w:val="0"/>
        <w:autoSpaceDN w:val="0"/>
        <w:rPr>
          <w:rFonts w:ascii="Calibri" w:eastAsia="Calibri" w:hAnsi="Calibri" w:cs="Calibri"/>
          <w:sz w:val="20"/>
          <w:szCs w:val="20"/>
        </w:rPr>
      </w:pPr>
      <w:r>
        <w:rPr>
          <w:rFonts w:ascii="Calibri" w:hAnsi="Calibri"/>
          <w:sz w:val="20"/>
          <w:szCs w:val="20"/>
        </w:rPr>
        <w:t>Nasledujúce prihlášky sa považujú za neprípustné:</w:t>
      </w:r>
    </w:p>
    <w:p w14:paraId="476F56A3" w14:textId="03A482F1" w:rsidR="00021F1D" w:rsidRPr="00765FBF" w:rsidRDefault="00021F1D" w:rsidP="00021F1D">
      <w:pPr>
        <w:spacing w:line="100" w:lineRule="atLeast"/>
        <w:ind w:right="-431"/>
        <w:jc w:val="both"/>
        <w:rPr>
          <w:rFonts w:asciiTheme="minorHAnsi" w:hAnsiTheme="minorHAnsi" w:cstheme="minorHAnsi"/>
          <w:noProof/>
          <w:sz w:val="20"/>
          <w:szCs w:val="20"/>
          <w:lang w:val="sr-Cyrl-RS"/>
        </w:rPr>
      </w:pPr>
    </w:p>
    <w:p w14:paraId="6815B72C"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prihlášky predložené neoprávnenými osobami a subjektmi, ktoré neboli plánované v súbehu;</w:t>
      </w:r>
    </w:p>
    <w:p w14:paraId="24210002" w14:textId="085E63F2"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lastRenderedPageBreak/>
        <w:t>prihlášky, ktoré nesúvisia so súbehom plánovaným účelom z článku 1 týchto pravidiel;</w:t>
      </w:r>
    </w:p>
    <w:p w14:paraId="210A0B38"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 xml:space="preserve">prihlášky súvisiace s obstaraním zariadenia, investície alebo stále náklady a bežné činnosti podávateľa prihlášky; </w:t>
      </w:r>
    </w:p>
    <w:p w14:paraId="195D298E"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prihlášky podávateľov prihlášok, ktorí nepredložili správu o vynaložení a použití pridelených finančných prostriedkov za predchádzajúci rok, t. j. u ktorých bolo zo správy zistené, že tieto prostriedky vynaložili nevhodne, ako aj prihlášky podávateľov, ktorí nesplnili svoje povinnosti z predchádzajúcich súbehov sekretariátu v zmysle predkladania fotografií alebo video materiálov ako dôkazov o realizovaných aktivitách;</w:t>
      </w:r>
    </w:p>
    <w:p w14:paraId="260FE7A2"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 xml:space="preserve">prihlášky žiadateľov, ktorí nepredložili opisnú/finančnú správu o implementácii programov/projektov z predchádzajúceho roka v stanovených termínoch; </w:t>
      </w:r>
    </w:p>
    <w:p w14:paraId="4B35EA6C" w14:textId="7C352739" w:rsidR="00765FBF" w:rsidRDefault="00765FBF" w:rsidP="00765FBF">
      <w:pPr>
        <w:pStyle w:val="ListParagraph"/>
        <w:numPr>
          <w:ilvl w:val="0"/>
          <w:numId w:val="19"/>
        </w:numPr>
        <w:spacing w:after="0"/>
        <w:jc w:val="both"/>
        <w:rPr>
          <w:rFonts w:asciiTheme="minorHAnsi" w:eastAsia="Times New Roman" w:hAnsiTheme="minorHAnsi" w:cstheme="minorHAnsi"/>
          <w:noProof/>
          <w:sz w:val="20"/>
          <w:szCs w:val="20"/>
        </w:rPr>
      </w:pPr>
      <w:r>
        <w:rPr>
          <w:rFonts w:asciiTheme="minorHAnsi" w:hAnsiTheme="minorHAnsi"/>
          <w:sz w:val="20"/>
          <w:szCs w:val="20"/>
        </w:rPr>
        <w:t>programy, respektíve projekty, ktorých vykonávanie nie je možné počas bežného kalendárového resp. rozpočtového roka;</w:t>
      </w:r>
    </w:p>
    <w:p w14:paraId="3D60E95A" w14:textId="77777777" w:rsidR="00765FBF" w:rsidRPr="00765FBF" w:rsidRDefault="00765FBF" w:rsidP="005050C5">
      <w:pPr>
        <w:pStyle w:val="ListParagraph"/>
        <w:numPr>
          <w:ilvl w:val="0"/>
          <w:numId w:val="19"/>
        </w:numPr>
        <w:spacing w:after="0" w:line="240" w:lineRule="auto"/>
        <w:contextualSpacing w:val="0"/>
        <w:jc w:val="both"/>
        <w:rPr>
          <w:rFonts w:asciiTheme="minorHAnsi" w:eastAsia="Times New Roman" w:hAnsiTheme="minorHAnsi" w:cstheme="minorHAnsi"/>
          <w:noProof/>
          <w:sz w:val="20"/>
          <w:szCs w:val="20"/>
        </w:rPr>
      </w:pPr>
      <w:r>
        <w:rPr>
          <w:rFonts w:asciiTheme="minorHAnsi" w:hAnsiTheme="minorHAnsi"/>
          <w:sz w:val="20"/>
          <w:szCs w:val="20"/>
        </w:rPr>
        <w:t>prihlášky týkajúce sa obstarávania vybavenia alebo údržby vybavenia, ktoré súvisí s realizáciou projektu, ako aj iné kapitálne náklady.</w:t>
      </w:r>
    </w:p>
    <w:p w14:paraId="11A6FFB2" w14:textId="282CDE0F" w:rsidR="00DA4D9C" w:rsidRDefault="00DA4D9C" w:rsidP="00021F1D">
      <w:pPr>
        <w:rPr>
          <w:rFonts w:asciiTheme="minorHAnsi" w:hAnsiTheme="minorHAnsi" w:cstheme="minorHAnsi"/>
          <w:b/>
          <w:noProof/>
          <w:sz w:val="20"/>
          <w:szCs w:val="20"/>
          <w:lang w:val="sr-Cyrl-RS"/>
        </w:rPr>
      </w:pPr>
    </w:p>
    <w:p w14:paraId="43D60947" w14:textId="16BBB75A" w:rsidR="00AF51CB" w:rsidRDefault="00DC2326" w:rsidP="007C4F9D">
      <w:pPr>
        <w:jc w:val="center"/>
        <w:rPr>
          <w:rFonts w:asciiTheme="minorHAnsi" w:hAnsiTheme="minorHAnsi" w:cstheme="minorHAnsi"/>
          <w:b/>
          <w:noProof/>
          <w:sz w:val="20"/>
          <w:szCs w:val="20"/>
        </w:rPr>
      </w:pPr>
      <w:r>
        <w:rPr>
          <w:rFonts w:asciiTheme="minorHAnsi" w:hAnsiTheme="minorHAnsi"/>
          <w:b/>
          <w:sz w:val="20"/>
          <w:szCs w:val="20"/>
        </w:rPr>
        <w:t>Článok 9</w:t>
      </w:r>
    </w:p>
    <w:p w14:paraId="3A75C40C" w14:textId="77777777" w:rsidR="00021F1D" w:rsidRPr="00DC2326" w:rsidRDefault="00021F1D" w:rsidP="007C4F9D">
      <w:pPr>
        <w:jc w:val="center"/>
        <w:rPr>
          <w:rFonts w:asciiTheme="minorHAnsi" w:hAnsiTheme="minorHAnsi" w:cstheme="minorHAnsi"/>
          <w:b/>
          <w:noProof/>
          <w:sz w:val="20"/>
          <w:szCs w:val="20"/>
          <w:lang w:val="sr-Cyrl-RS"/>
        </w:rPr>
      </w:pPr>
    </w:p>
    <w:p w14:paraId="052EB0E1" w14:textId="30BCC21F" w:rsidR="00AF51CB" w:rsidRPr="00021F1D" w:rsidRDefault="00AF51CB" w:rsidP="00291FBF">
      <w:pPr>
        <w:ind w:firstLine="540"/>
        <w:jc w:val="both"/>
        <w:rPr>
          <w:rFonts w:asciiTheme="minorHAnsi" w:hAnsiTheme="minorHAnsi" w:cstheme="minorHAnsi"/>
          <w:strike/>
          <w:noProof/>
          <w:sz w:val="20"/>
          <w:szCs w:val="20"/>
        </w:rPr>
      </w:pPr>
      <w:r>
        <w:rPr>
          <w:rFonts w:asciiTheme="minorHAnsi" w:hAnsiTheme="minorHAnsi"/>
          <w:sz w:val="20"/>
          <w:szCs w:val="20"/>
        </w:rPr>
        <w:t>Komisia posúdi prihlášky s ohľadom na tieto priority:</w:t>
      </w:r>
    </w:p>
    <w:p w14:paraId="6B44512C" w14:textId="77777777" w:rsidR="00AF51CB" w:rsidRPr="00DC2326" w:rsidRDefault="00AF51CB" w:rsidP="007C4F9D">
      <w:pPr>
        <w:jc w:val="both"/>
        <w:rPr>
          <w:rFonts w:asciiTheme="minorHAnsi" w:hAnsiTheme="minorHAnsi" w:cstheme="minorHAnsi"/>
          <w:noProof/>
          <w:sz w:val="20"/>
          <w:szCs w:val="20"/>
          <w:lang w:val="sr-Cyrl-RS"/>
        </w:rPr>
      </w:pPr>
    </w:p>
    <w:p w14:paraId="42AA45F3" w14:textId="77777777" w:rsidR="003D2025" w:rsidRDefault="003D2025" w:rsidP="00B50DFC">
      <w:pPr>
        <w:numPr>
          <w:ilvl w:val="0"/>
          <w:numId w:val="21"/>
        </w:numPr>
        <w:ind w:right="180"/>
        <w:jc w:val="both"/>
        <w:rPr>
          <w:rFonts w:asciiTheme="minorHAnsi" w:hAnsiTheme="minorHAnsi" w:cstheme="minorHAnsi"/>
          <w:b/>
          <w:noProof/>
          <w:sz w:val="20"/>
          <w:szCs w:val="20"/>
        </w:rPr>
      </w:pPr>
      <w:r>
        <w:rPr>
          <w:rFonts w:asciiTheme="minorHAnsi" w:hAnsiTheme="minorHAnsi"/>
          <w:b/>
          <w:sz w:val="20"/>
          <w:szCs w:val="20"/>
        </w:rPr>
        <w:t xml:space="preserve">Referencie na program: </w:t>
      </w:r>
    </w:p>
    <w:p w14:paraId="36EAEFFC" w14:textId="73503196" w:rsidR="00AF51CB" w:rsidRDefault="003D2025" w:rsidP="00EC0460">
      <w:pPr>
        <w:pStyle w:val="ListParagraph"/>
        <w:numPr>
          <w:ilvl w:val="0"/>
          <w:numId w:val="31"/>
        </w:numPr>
        <w:ind w:right="180"/>
        <w:jc w:val="both"/>
        <w:rPr>
          <w:rFonts w:asciiTheme="minorHAnsi" w:hAnsiTheme="minorHAnsi" w:cstheme="minorHAnsi"/>
          <w:noProof/>
          <w:sz w:val="20"/>
          <w:szCs w:val="20"/>
        </w:rPr>
      </w:pPr>
      <w:r>
        <w:rPr>
          <w:rFonts w:asciiTheme="minorHAnsi" w:hAnsiTheme="minorHAnsi"/>
          <w:sz w:val="20"/>
          <w:szCs w:val="20"/>
        </w:rPr>
        <w:t>Oblasť realizácie programu, počet užívateľov programu a jeho udržateľnosť.</w:t>
      </w:r>
    </w:p>
    <w:p w14:paraId="668B36D5" w14:textId="38390DC3" w:rsidR="00EC0460" w:rsidRPr="00EC0460" w:rsidRDefault="00EC0460" w:rsidP="00EC0460">
      <w:pPr>
        <w:pStyle w:val="ListParagraph"/>
        <w:numPr>
          <w:ilvl w:val="0"/>
          <w:numId w:val="21"/>
        </w:numPr>
        <w:ind w:right="180"/>
        <w:jc w:val="both"/>
        <w:rPr>
          <w:rFonts w:asciiTheme="minorHAnsi" w:hAnsiTheme="minorHAnsi" w:cstheme="minorHAnsi"/>
          <w:b/>
          <w:noProof/>
          <w:sz w:val="20"/>
          <w:szCs w:val="20"/>
        </w:rPr>
      </w:pPr>
      <w:r>
        <w:rPr>
          <w:rFonts w:asciiTheme="minorHAnsi" w:hAnsiTheme="minorHAnsi"/>
          <w:b/>
          <w:sz w:val="20"/>
          <w:szCs w:val="20"/>
        </w:rPr>
        <w:t>Ciele, ktoré sa majú dosiahnuť:</w:t>
      </w:r>
    </w:p>
    <w:p w14:paraId="08DB19C1" w14:textId="0D76D88D" w:rsidR="00AF51CB" w:rsidRPr="00E31E1B" w:rsidRDefault="00EC0460" w:rsidP="00E31E1B">
      <w:pPr>
        <w:pStyle w:val="ListParagraph"/>
        <w:numPr>
          <w:ilvl w:val="0"/>
          <w:numId w:val="32"/>
        </w:numPr>
        <w:ind w:right="180"/>
        <w:jc w:val="both"/>
        <w:rPr>
          <w:rFonts w:asciiTheme="minorHAnsi" w:hAnsiTheme="minorHAnsi" w:cstheme="minorHAnsi"/>
          <w:noProof/>
          <w:sz w:val="20"/>
          <w:szCs w:val="20"/>
        </w:rPr>
      </w:pPr>
      <w:r>
        <w:rPr>
          <w:rFonts w:asciiTheme="minorHAnsi" w:hAnsiTheme="minorHAnsi"/>
          <w:sz w:val="20"/>
          <w:szCs w:val="20"/>
        </w:rPr>
        <w:t xml:space="preserve">Rozsah uspokojenia verejného záujmu, stupeň zlepšenia v oblasti, v ktorej sa program realizuje. </w:t>
      </w:r>
    </w:p>
    <w:p w14:paraId="56597398" w14:textId="4903311D" w:rsidR="00291FBF" w:rsidRDefault="00EC0460" w:rsidP="00EC0460">
      <w:pPr>
        <w:pStyle w:val="ListParagraph"/>
        <w:numPr>
          <w:ilvl w:val="0"/>
          <w:numId w:val="21"/>
        </w:numPr>
        <w:jc w:val="both"/>
        <w:rPr>
          <w:rFonts w:asciiTheme="minorHAnsi" w:hAnsiTheme="minorHAnsi" w:cstheme="minorHAnsi"/>
          <w:b/>
          <w:noProof/>
          <w:sz w:val="20"/>
          <w:szCs w:val="20"/>
        </w:rPr>
      </w:pPr>
      <w:r>
        <w:rPr>
          <w:rFonts w:asciiTheme="minorHAnsi" w:hAnsiTheme="minorHAnsi"/>
          <w:b/>
          <w:sz w:val="20"/>
          <w:szCs w:val="20"/>
        </w:rPr>
        <w:t>Spolufinancovanie programov z iných zdrojov</w:t>
      </w:r>
    </w:p>
    <w:p w14:paraId="63E2FC80" w14:textId="40001637" w:rsidR="00E31E1B" w:rsidRPr="00E31E1B" w:rsidRDefault="00E31E1B" w:rsidP="00E31E1B">
      <w:pPr>
        <w:pStyle w:val="ListParagraph"/>
        <w:numPr>
          <w:ilvl w:val="0"/>
          <w:numId w:val="21"/>
        </w:numPr>
        <w:jc w:val="both"/>
        <w:rPr>
          <w:rFonts w:asciiTheme="minorHAnsi" w:hAnsiTheme="minorHAnsi" w:cstheme="minorHAnsi"/>
          <w:b/>
          <w:noProof/>
          <w:sz w:val="20"/>
          <w:szCs w:val="20"/>
        </w:rPr>
      </w:pPr>
      <w:r>
        <w:rPr>
          <w:rFonts w:asciiTheme="minorHAnsi" w:hAnsiTheme="minorHAnsi"/>
          <w:b/>
          <w:sz w:val="20"/>
          <w:szCs w:val="20"/>
        </w:rPr>
        <w:t>Zákonnosť a efektívnosť využívania prostriedkov a udržateľnosť predchádzajúcich programov</w:t>
      </w:r>
    </w:p>
    <w:p w14:paraId="47398F0D" w14:textId="7291F14D" w:rsidR="00E31E1B" w:rsidRPr="00B50DFC" w:rsidRDefault="00E31E1B" w:rsidP="00E31E1B">
      <w:pPr>
        <w:pStyle w:val="ListParagraph"/>
        <w:numPr>
          <w:ilvl w:val="0"/>
          <w:numId w:val="21"/>
        </w:numPr>
        <w:jc w:val="both"/>
        <w:rPr>
          <w:rFonts w:asciiTheme="minorHAnsi" w:hAnsiTheme="minorHAnsi" w:cstheme="minorHAnsi"/>
          <w:noProof/>
          <w:sz w:val="20"/>
          <w:szCs w:val="20"/>
        </w:rPr>
      </w:pPr>
      <w:r>
        <w:rPr>
          <w:rFonts w:asciiTheme="minorHAnsi" w:hAnsiTheme="minorHAnsi"/>
          <w:b/>
          <w:sz w:val="20"/>
          <w:szCs w:val="20"/>
        </w:rPr>
        <w:t>Pestovanie multikultúrnosti/interkultúrnosti a tradície, materinského jazyka príslušníkov národnostných menšín – národnostných spoločenstiev</w:t>
      </w:r>
      <w:r>
        <w:rPr>
          <w:rFonts w:asciiTheme="minorHAnsi" w:hAnsiTheme="minorHAnsi"/>
          <w:sz w:val="20"/>
          <w:szCs w:val="20"/>
        </w:rPr>
        <w:t xml:space="preserve"> </w:t>
      </w:r>
    </w:p>
    <w:p w14:paraId="1A800093" w14:textId="0631BC92" w:rsidR="00E31E1B" w:rsidRPr="00EC0460" w:rsidRDefault="00E31E1B" w:rsidP="00E3029F">
      <w:pPr>
        <w:pStyle w:val="ListParagraph"/>
        <w:numPr>
          <w:ilvl w:val="0"/>
          <w:numId w:val="32"/>
        </w:numPr>
        <w:jc w:val="both"/>
        <w:rPr>
          <w:rFonts w:asciiTheme="minorHAnsi" w:hAnsiTheme="minorHAnsi" w:cstheme="minorHAnsi"/>
          <w:b/>
          <w:noProof/>
          <w:sz w:val="20"/>
          <w:szCs w:val="20"/>
        </w:rPr>
      </w:pPr>
      <w:r>
        <w:rPr>
          <w:rFonts w:asciiTheme="minorHAnsi" w:hAnsiTheme="minorHAnsi"/>
          <w:sz w:val="20"/>
          <w:szCs w:val="20"/>
        </w:rPr>
        <w:t>vytváranie podmienok, aby sa používatelia programu, príslušníci rôznych národnostných spoločenstiev, navzájom lepšie spoznali a získali tak ďalšie poznatky o dejinách, kultúre a iných dôležitých faktoch o koexistencii, zvýšenie medzietnickej dôvery.</w:t>
      </w:r>
    </w:p>
    <w:p w14:paraId="66F524A8" w14:textId="6398E122" w:rsidR="00AF51CB" w:rsidRPr="00E27785" w:rsidRDefault="00291FBF" w:rsidP="00E27785">
      <w:pPr>
        <w:ind w:right="180"/>
        <w:jc w:val="center"/>
        <w:rPr>
          <w:rFonts w:asciiTheme="minorHAnsi" w:hAnsiTheme="minorHAnsi" w:cstheme="minorHAnsi"/>
          <w:b/>
          <w:noProof/>
          <w:sz w:val="20"/>
          <w:szCs w:val="20"/>
        </w:rPr>
      </w:pPr>
      <w:r>
        <w:rPr>
          <w:rFonts w:asciiTheme="minorHAnsi" w:hAnsiTheme="minorHAnsi"/>
          <w:b/>
          <w:sz w:val="20"/>
          <w:szCs w:val="20"/>
        </w:rPr>
        <w:t>Kritériá pridelenia prostriedkov podľa súbehu</w:t>
      </w:r>
    </w:p>
    <w:p w14:paraId="658C3731" w14:textId="6EF7ED4A" w:rsidR="00AF51CB" w:rsidRPr="0056419C" w:rsidRDefault="00AF51CB" w:rsidP="007C4F9D">
      <w:pPr>
        <w:jc w:val="center"/>
        <w:rPr>
          <w:rFonts w:asciiTheme="minorHAnsi" w:hAnsiTheme="minorHAnsi" w:cstheme="minorHAnsi"/>
          <w:b/>
          <w:noProof/>
          <w:sz w:val="20"/>
          <w:szCs w:val="20"/>
        </w:rPr>
      </w:pPr>
      <w:r>
        <w:rPr>
          <w:rFonts w:asciiTheme="minorHAnsi" w:hAnsiTheme="minorHAnsi"/>
          <w:b/>
          <w:sz w:val="20"/>
          <w:szCs w:val="20"/>
        </w:rPr>
        <w:t>Článok 10</w:t>
      </w:r>
    </w:p>
    <w:p w14:paraId="79728E87" w14:textId="3AD2B9CB" w:rsidR="005A0B58" w:rsidRDefault="005A0B58" w:rsidP="007C4F9D">
      <w:pPr>
        <w:jc w:val="center"/>
        <w:rPr>
          <w:rFonts w:asciiTheme="minorHAnsi" w:hAnsiTheme="minorHAnsi" w:cstheme="minorHAns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5A0B58"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64B3675B" w14:textId="77777777" w:rsidR="005A0B58" w:rsidRPr="006C515A" w:rsidRDefault="005A0B58">
            <w:pPr>
              <w:adjustRightInd w:val="0"/>
              <w:jc w:val="center"/>
              <w:rPr>
                <w:rFonts w:asciiTheme="minorHAnsi" w:hAnsiTheme="minorHAnsi" w:cstheme="minorHAnsi"/>
                <w:sz w:val="16"/>
                <w:szCs w:val="16"/>
              </w:rPr>
            </w:pPr>
            <w:r w:rsidRPr="006C515A">
              <w:rPr>
                <w:rFonts w:asciiTheme="minorHAnsi" w:hAnsiTheme="minorHAnsi"/>
                <w:sz w:val="16"/>
                <w:szCs w:val="16"/>
              </w:rPr>
              <w:t>Poradové</w:t>
            </w:r>
          </w:p>
          <w:p w14:paraId="5190F682" w14:textId="77777777" w:rsidR="005A0B58" w:rsidRPr="005A0B58" w:rsidRDefault="005A0B58">
            <w:pPr>
              <w:adjustRightInd w:val="0"/>
              <w:jc w:val="center"/>
              <w:rPr>
                <w:rFonts w:asciiTheme="minorHAnsi" w:hAnsiTheme="minorHAnsi" w:cstheme="minorHAnsi"/>
                <w:sz w:val="20"/>
                <w:szCs w:val="20"/>
              </w:rPr>
            </w:pPr>
            <w:r w:rsidRPr="006C515A">
              <w:rPr>
                <w:rFonts w:asciiTheme="minorHAnsi" w:hAnsiTheme="minorHAnsi"/>
                <w:sz w:val="16"/>
                <w:szCs w:val="16"/>
              </w:rPr>
              <w:t>číslo</w:t>
            </w:r>
          </w:p>
        </w:tc>
        <w:tc>
          <w:tcPr>
            <w:tcW w:w="6211" w:type="dxa"/>
            <w:tcBorders>
              <w:top w:val="single" w:sz="4" w:space="0" w:color="auto"/>
              <w:left w:val="single" w:sz="4" w:space="0" w:color="auto"/>
              <w:bottom w:val="single" w:sz="4" w:space="0" w:color="auto"/>
              <w:right w:val="single" w:sz="4" w:space="0" w:color="auto"/>
            </w:tcBorders>
            <w:hideMark/>
          </w:tcPr>
          <w:p w14:paraId="414DBB02"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Kritériá</w:t>
            </w:r>
          </w:p>
        </w:tc>
        <w:tc>
          <w:tcPr>
            <w:tcW w:w="1016" w:type="dxa"/>
            <w:tcBorders>
              <w:top w:val="single" w:sz="4" w:space="0" w:color="auto"/>
              <w:left w:val="single" w:sz="4" w:space="0" w:color="auto"/>
              <w:bottom w:val="single" w:sz="4" w:space="0" w:color="auto"/>
              <w:right w:val="single" w:sz="4" w:space="0" w:color="auto"/>
            </w:tcBorders>
          </w:tcPr>
          <w:p w14:paraId="5E0C1723"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Body</w:t>
            </w:r>
          </w:p>
          <w:p w14:paraId="10E08AA3" w14:textId="77777777" w:rsidR="005A0B58" w:rsidRPr="005A0B58" w:rsidRDefault="005A0B58">
            <w:pPr>
              <w:adjustRightInd w:val="0"/>
              <w:jc w:val="center"/>
              <w:rPr>
                <w:rFonts w:asciiTheme="minorHAnsi" w:hAnsiTheme="minorHAnsi" w:cstheme="minorHAnsi"/>
                <w:sz w:val="20"/>
                <w:szCs w:val="20"/>
                <w:lang w:val="sr-Latn-RS"/>
              </w:rPr>
            </w:pPr>
          </w:p>
        </w:tc>
      </w:tr>
      <w:tr w:rsidR="005A0B58" w:rsidRPr="005A0B58"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3A9E4333" w:rsidR="005A0B58" w:rsidRPr="005A0B58" w:rsidRDefault="005A0B58" w:rsidP="005A0B58">
            <w:pPr>
              <w:ind w:left="-15"/>
              <w:rPr>
                <w:rFonts w:asciiTheme="minorHAnsi" w:hAnsiTheme="minorHAnsi" w:cstheme="minorHAnsi"/>
                <w:sz w:val="20"/>
                <w:szCs w:val="20"/>
              </w:rPr>
            </w:pPr>
            <w:r>
              <w:rPr>
                <w:rFonts w:asciiTheme="minorHAnsi" w:hAnsiTheme="minorHAnsi"/>
                <w:sz w:val="20"/>
                <w:szCs w:val="20"/>
              </w:rPr>
              <w:t>Ciele a aktivity programu/projektu sú v súlade s prioritami súbehu</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 – 30</w:t>
            </w:r>
          </w:p>
        </w:tc>
      </w:tr>
      <w:tr w:rsidR="005A0B58" w:rsidRPr="005A0B58"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1E5DC1BC" w:rsidR="005A0B58" w:rsidRPr="00EC0460" w:rsidRDefault="00EC0460" w:rsidP="005A0B58">
            <w:pPr>
              <w:adjustRightInd w:val="0"/>
              <w:rPr>
                <w:rFonts w:asciiTheme="minorHAnsi" w:hAnsiTheme="minorHAnsi" w:cstheme="minorHAnsi"/>
                <w:sz w:val="20"/>
                <w:szCs w:val="20"/>
              </w:rPr>
            </w:pPr>
            <w:r>
              <w:rPr>
                <w:rFonts w:asciiTheme="minorHAnsi" w:hAnsiTheme="minorHAnsi"/>
                <w:sz w:val="20"/>
                <w:szCs w:val="20"/>
              </w:rPr>
              <w:t>Počet používateľov programu/projektu</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 – 10</w:t>
            </w:r>
          </w:p>
        </w:tc>
      </w:tr>
      <w:tr w:rsidR="005A0B58" w:rsidRPr="005A0B58"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28E72E50" w:rsidR="005A0B58" w:rsidRPr="00EC0460" w:rsidRDefault="00EC0460" w:rsidP="00EC0460">
            <w:pPr>
              <w:adjustRightInd w:val="0"/>
              <w:rPr>
                <w:rFonts w:asciiTheme="minorHAnsi" w:hAnsiTheme="minorHAnsi" w:cstheme="minorHAnsi"/>
                <w:sz w:val="20"/>
                <w:szCs w:val="20"/>
              </w:rPr>
            </w:pPr>
            <w:r>
              <w:rPr>
                <w:rFonts w:asciiTheme="minorHAnsi" w:hAnsiTheme="minorHAnsi"/>
                <w:sz w:val="20"/>
                <w:szCs w:val="20"/>
              </w:rPr>
              <w:t>Stupeň zlepšenia v oblasti, v ktorej sa program/projekt realizuje</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 – 10</w:t>
            </w:r>
          </w:p>
        </w:tc>
      </w:tr>
      <w:tr w:rsidR="005A0B58" w:rsidRPr="005A0B58"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6A0AC330" w:rsidR="005A0B58" w:rsidRPr="005A0B58" w:rsidRDefault="005A0B58" w:rsidP="00EC0460">
            <w:pPr>
              <w:adjustRightInd w:val="0"/>
              <w:rPr>
                <w:rFonts w:asciiTheme="minorHAnsi" w:hAnsiTheme="minorHAnsi" w:cstheme="minorHAnsi"/>
                <w:sz w:val="20"/>
                <w:szCs w:val="20"/>
              </w:rPr>
            </w:pPr>
            <w:r>
              <w:rPr>
                <w:rFonts w:asciiTheme="minorHAnsi" w:hAnsiTheme="minorHAnsi"/>
                <w:sz w:val="20"/>
                <w:szCs w:val="20"/>
              </w:rPr>
              <w:t>Uplatnený je inovačný prístup pri plánovaní aktivít, ktorými sa prenášajú vedomosti a skúsenosti občianskych združení do širšej komunity</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 – 10</w:t>
            </w:r>
          </w:p>
        </w:tc>
      </w:tr>
      <w:tr w:rsidR="005A0B58" w:rsidRPr="005A0B58" w14:paraId="2C1BC77B"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3C611DC" w14:textId="7EEF8342" w:rsidR="005A0B58" w:rsidRPr="008D7279" w:rsidRDefault="008D7279" w:rsidP="005A0B58">
            <w:pPr>
              <w:adjustRightInd w:val="0"/>
              <w:jc w:val="center"/>
              <w:rPr>
                <w:rFonts w:asciiTheme="minorHAnsi" w:hAnsiTheme="minorHAnsi" w:cstheme="minorHAnsi"/>
                <w:sz w:val="20"/>
                <w:szCs w:val="20"/>
              </w:rPr>
            </w:pPr>
            <w:r>
              <w:rPr>
                <w:rFonts w:asciiTheme="minorHAnsi" w:hAnsiTheme="minorHAnsi"/>
                <w:sz w:val="20"/>
                <w:szCs w:val="20"/>
              </w:rPr>
              <w:t>6</w:t>
            </w:r>
          </w:p>
        </w:tc>
        <w:tc>
          <w:tcPr>
            <w:tcW w:w="6211" w:type="dxa"/>
            <w:tcBorders>
              <w:top w:val="single" w:sz="4" w:space="0" w:color="auto"/>
              <w:left w:val="single" w:sz="4" w:space="0" w:color="auto"/>
              <w:bottom w:val="single" w:sz="4" w:space="0" w:color="auto"/>
              <w:right w:val="single" w:sz="4" w:space="0" w:color="auto"/>
            </w:tcBorders>
            <w:hideMark/>
          </w:tcPr>
          <w:p w14:paraId="20A80129" w14:textId="211E2660" w:rsidR="005A0B58" w:rsidRPr="005A0B58" w:rsidRDefault="005A0B58" w:rsidP="005A0B58">
            <w:pPr>
              <w:rPr>
                <w:rFonts w:asciiTheme="minorHAnsi" w:hAnsiTheme="minorHAnsi" w:cstheme="minorHAnsi"/>
                <w:sz w:val="20"/>
                <w:szCs w:val="20"/>
              </w:rPr>
            </w:pPr>
            <w:r>
              <w:rPr>
                <w:rFonts w:asciiTheme="minorHAnsi" w:hAnsiTheme="minorHAnsi"/>
                <w:sz w:val="20"/>
                <w:szCs w:val="20"/>
              </w:rPr>
              <w:t>Zviditeľnenie programu/projektu;</w:t>
            </w:r>
          </w:p>
        </w:tc>
        <w:tc>
          <w:tcPr>
            <w:tcW w:w="1016" w:type="dxa"/>
            <w:tcBorders>
              <w:top w:val="single" w:sz="4" w:space="0" w:color="auto"/>
              <w:left w:val="single" w:sz="4" w:space="0" w:color="auto"/>
              <w:bottom w:val="single" w:sz="4" w:space="0" w:color="auto"/>
              <w:right w:val="single" w:sz="4" w:space="0" w:color="auto"/>
            </w:tcBorders>
            <w:hideMark/>
          </w:tcPr>
          <w:p w14:paraId="68414C5F" w14:textId="77777777" w:rsidR="005A0B58" w:rsidRPr="005A0B58" w:rsidRDefault="005A0B58" w:rsidP="005A0B58">
            <w:pPr>
              <w:adjustRightInd w:val="0"/>
              <w:jc w:val="center"/>
              <w:rPr>
                <w:rFonts w:asciiTheme="minorHAnsi" w:eastAsia="Calibri" w:hAnsiTheme="minorHAnsi" w:cstheme="minorHAnsi"/>
                <w:sz w:val="20"/>
                <w:szCs w:val="20"/>
              </w:rPr>
            </w:pPr>
            <w:r>
              <w:rPr>
                <w:rFonts w:asciiTheme="minorHAnsi" w:hAnsiTheme="minorHAnsi"/>
                <w:sz w:val="20"/>
                <w:szCs w:val="20"/>
              </w:rPr>
              <w:t>0 – 10</w:t>
            </w:r>
          </w:p>
        </w:tc>
      </w:tr>
      <w:tr w:rsidR="005A0B58" w:rsidRPr="005A0B58" w14:paraId="7D205E3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0C093E6" w14:textId="1374604A" w:rsidR="005A0B58" w:rsidRPr="008D7279" w:rsidRDefault="008D7279" w:rsidP="005A0B58">
            <w:pPr>
              <w:adjustRightInd w:val="0"/>
              <w:jc w:val="center"/>
              <w:rPr>
                <w:rFonts w:asciiTheme="minorHAnsi" w:hAnsiTheme="minorHAnsi" w:cstheme="minorHAnsi"/>
                <w:sz w:val="20"/>
                <w:szCs w:val="20"/>
              </w:rPr>
            </w:pPr>
            <w:r>
              <w:rPr>
                <w:rFonts w:asciiTheme="minorHAnsi" w:hAnsiTheme="minorHAnsi"/>
                <w:sz w:val="20"/>
                <w:szCs w:val="20"/>
              </w:rPr>
              <w:t>7</w:t>
            </w:r>
          </w:p>
        </w:tc>
        <w:tc>
          <w:tcPr>
            <w:tcW w:w="6211" w:type="dxa"/>
            <w:tcBorders>
              <w:top w:val="single" w:sz="4" w:space="0" w:color="auto"/>
              <w:left w:val="single" w:sz="4" w:space="0" w:color="auto"/>
              <w:bottom w:val="single" w:sz="4" w:space="0" w:color="auto"/>
              <w:right w:val="single" w:sz="4" w:space="0" w:color="auto"/>
            </w:tcBorders>
            <w:hideMark/>
          </w:tcPr>
          <w:p w14:paraId="36F6ACB5" w14:textId="1A6FCE83" w:rsidR="005A0B58" w:rsidRPr="005A0B58" w:rsidRDefault="005A0B58" w:rsidP="005A0B58">
            <w:pPr>
              <w:rPr>
                <w:rFonts w:asciiTheme="minorHAnsi" w:hAnsiTheme="minorHAnsi" w:cstheme="minorHAnsi"/>
                <w:sz w:val="20"/>
                <w:szCs w:val="20"/>
              </w:rPr>
            </w:pPr>
            <w:r>
              <w:rPr>
                <w:rFonts w:asciiTheme="minorHAnsi" w:hAnsiTheme="minorHAnsi"/>
                <w:sz w:val="20"/>
                <w:szCs w:val="20"/>
              </w:rPr>
              <w:t>Udržateľnosť výsledkov programu/projektu;</w:t>
            </w:r>
          </w:p>
        </w:tc>
        <w:tc>
          <w:tcPr>
            <w:tcW w:w="1016" w:type="dxa"/>
            <w:tcBorders>
              <w:top w:val="single" w:sz="4" w:space="0" w:color="auto"/>
              <w:left w:val="single" w:sz="4" w:space="0" w:color="auto"/>
              <w:bottom w:val="single" w:sz="4" w:space="0" w:color="auto"/>
              <w:right w:val="single" w:sz="4" w:space="0" w:color="auto"/>
            </w:tcBorders>
            <w:hideMark/>
          </w:tcPr>
          <w:p w14:paraId="304C608A"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 – 10</w:t>
            </w:r>
          </w:p>
        </w:tc>
      </w:tr>
      <w:tr w:rsidR="005A0B58" w:rsidRPr="005A0B58" w14:paraId="4791022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DCBDDF1" w14:textId="4B3F8580" w:rsidR="005A0B58" w:rsidRPr="008D7279" w:rsidRDefault="008D7279" w:rsidP="005A0B58">
            <w:pPr>
              <w:adjustRightInd w:val="0"/>
              <w:jc w:val="center"/>
              <w:rPr>
                <w:rFonts w:asciiTheme="minorHAnsi" w:hAnsiTheme="minorHAnsi" w:cstheme="minorHAnsi"/>
                <w:sz w:val="20"/>
                <w:szCs w:val="20"/>
              </w:rPr>
            </w:pPr>
            <w:r>
              <w:rPr>
                <w:rFonts w:asciiTheme="minorHAnsi" w:hAnsiTheme="minorHAnsi"/>
                <w:sz w:val="20"/>
                <w:szCs w:val="20"/>
              </w:rPr>
              <w:t>8</w:t>
            </w:r>
          </w:p>
        </w:tc>
        <w:tc>
          <w:tcPr>
            <w:tcW w:w="6211" w:type="dxa"/>
            <w:tcBorders>
              <w:top w:val="single" w:sz="4" w:space="0" w:color="auto"/>
              <w:left w:val="single" w:sz="4" w:space="0" w:color="auto"/>
              <w:bottom w:val="single" w:sz="4" w:space="0" w:color="auto"/>
              <w:right w:val="single" w:sz="4" w:space="0" w:color="auto"/>
            </w:tcBorders>
            <w:hideMark/>
          </w:tcPr>
          <w:p w14:paraId="710E3E97" w14:textId="40C9A2AB" w:rsidR="005A0B58" w:rsidRPr="005A0B58" w:rsidRDefault="005A0B58" w:rsidP="005A0B58">
            <w:pPr>
              <w:adjustRightInd w:val="0"/>
              <w:rPr>
                <w:rFonts w:asciiTheme="minorHAnsi" w:hAnsiTheme="minorHAnsi" w:cstheme="minorHAnsi"/>
                <w:sz w:val="20"/>
                <w:szCs w:val="20"/>
              </w:rPr>
            </w:pPr>
            <w:r>
              <w:rPr>
                <w:rFonts w:asciiTheme="minorHAnsi" w:hAnsiTheme="minorHAnsi"/>
                <w:sz w:val="20"/>
                <w:szCs w:val="20"/>
              </w:rPr>
              <w:t>Zapojenie partnerských inštitúcií do realizácie programu/projektu</w:t>
            </w:r>
          </w:p>
        </w:tc>
        <w:tc>
          <w:tcPr>
            <w:tcW w:w="1016" w:type="dxa"/>
            <w:tcBorders>
              <w:top w:val="single" w:sz="4" w:space="0" w:color="auto"/>
              <w:left w:val="single" w:sz="4" w:space="0" w:color="auto"/>
              <w:bottom w:val="single" w:sz="4" w:space="0" w:color="auto"/>
              <w:right w:val="single" w:sz="4" w:space="0" w:color="auto"/>
            </w:tcBorders>
            <w:hideMark/>
          </w:tcPr>
          <w:p w14:paraId="4A84111A"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 – 10</w:t>
            </w:r>
          </w:p>
        </w:tc>
      </w:tr>
      <w:tr w:rsidR="005A0B58" w:rsidRPr="005A0B58" w14:paraId="71CC3D0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210CD86E" w14:textId="6BD4F216" w:rsidR="005A0B58" w:rsidRPr="008D7279" w:rsidRDefault="008D7279">
            <w:pPr>
              <w:adjustRightInd w:val="0"/>
              <w:jc w:val="center"/>
              <w:rPr>
                <w:rFonts w:asciiTheme="minorHAnsi" w:hAnsiTheme="minorHAnsi" w:cstheme="minorHAnsi"/>
                <w:sz w:val="20"/>
                <w:szCs w:val="20"/>
              </w:rPr>
            </w:pPr>
            <w:r>
              <w:rPr>
                <w:rFonts w:asciiTheme="minorHAnsi" w:hAnsiTheme="minorHAnsi"/>
                <w:sz w:val="20"/>
                <w:szCs w:val="20"/>
              </w:rPr>
              <w:t>9</w:t>
            </w:r>
          </w:p>
        </w:tc>
        <w:tc>
          <w:tcPr>
            <w:tcW w:w="6211" w:type="dxa"/>
            <w:tcBorders>
              <w:top w:val="single" w:sz="4" w:space="0" w:color="auto"/>
              <w:left w:val="single" w:sz="4" w:space="0" w:color="auto"/>
              <w:bottom w:val="single" w:sz="4" w:space="0" w:color="auto"/>
              <w:right w:val="single" w:sz="4" w:space="0" w:color="auto"/>
            </w:tcBorders>
            <w:hideMark/>
          </w:tcPr>
          <w:p w14:paraId="04D7BF45" w14:textId="4A01E425" w:rsidR="005A0B58" w:rsidRPr="00EC0460" w:rsidRDefault="005A0B58" w:rsidP="00627CFF">
            <w:pPr>
              <w:jc w:val="both"/>
              <w:rPr>
                <w:rFonts w:asciiTheme="minorHAnsi" w:hAnsiTheme="minorHAnsi" w:cstheme="minorHAnsi"/>
                <w:noProof/>
                <w:sz w:val="20"/>
                <w:szCs w:val="20"/>
              </w:rPr>
            </w:pPr>
            <w:r>
              <w:rPr>
                <w:rFonts w:asciiTheme="minorHAnsi" w:hAnsiTheme="minorHAnsi"/>
                <w:sz w:val="20"/>
                <w:szCs w:val="20"/>
              </w:rPr>
              <w:t>Predchádzajúce skúsenosti s realizáciou programov/projektov, ktoré prispievajú k presadzovaniu verejného záujmu v oblasti, v ktorej sa program/projekt realizuje.</w:t>
            </w:r>
          </w:p>
        </w:tc>
        <w:tc>
          <w:tcPr>
            <w:tcW w:w="1016" w:type="dxa"/>
            <w:tcBorders>
              <w:top w:val="single" w:sz="4" w:space="0" w:color="auto"/>
              <w:left w:val="single" w:sz="4" w:space="0" w:color="auto"/>
              <w:bottom w:val="single" w:sz="4" w:space="0" w:color="auto"/>
              <w:right w:val="single" w:sz="4" w:space="0" w:color="auto"/>
            </w:tcBorders>
            <w:hideMark/>
          </w:tcPr>
          <w:p w14:paraId="63D15C3B"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0 – 10</w:t>
            </w:r>
          </w:p>
        </w:tc>
      </w:tr>
    </w:tbl>
    <w:p w14:paraId="6EF04E25" w14:textId="3A3F2CB3" w:rsidR="005A0B58" w:rsidRDefault="005A0B58" w:rsidP="007C4F9D">
      <w:pPr>
        <w:jc w:val="center"/>
        <w:rPr>
          <w:rFonts w:asciiTheme="minorHAnsi" w:hAnsiTheme="minorHAnsi" w:cstheme="minorHAnsi"/>
          <w:b/>
          <w:noProof/>
          <w:sz w:val="20"/>
          <w:szCs w:val="20"/>
          <w:highlight w:val="green"/>
          <w:lang w:val="sr-Cyrl-RS"/>
        </w:rPr>
      </w:pPr>
    </w:p>
    <w:p w14:paraId="07EB8C1E" w14:textId="726B108B" w:rsidR="00690EAC" w:rsidRDefault="00690EAC" w:rsidP="007C4F9D">
      <w:pPr>
        <w:jc w:val="both"/>
        <w:rPr>
          <w:rFonts w:asciiTheme="minorHAnsi" w:hAnsiTheme="minorHAnsi" w:cstheme="minorHAnsi"/>
          <w:noProof/>
          <w:sz w:val="20"/>
          <w:szCs w:val="20"/>
          <w:lang w:val="sr-Cyrl-RS"/>
        </w:rPr>
      </w:pPr>
    </w:p>
    <w:p w14:paraId="5A5642D7" w14:textId="77777777" w:rsidR="00690EAC" w:rsidRPr="00690EAC" w:rsidRDefault="00690EAC" w:rsidP="00690EAC">
      <w:pPr>
        <w:autoSpaceDN w:val="0"/>
        <w:jc w:val="center"/>
        <w:rPr>
          <w:rFonts w:ascii="Calibri" w:hAnsi="Calibri" w:cs="Calibri"/>
          <w:b/>
          <w:sz w:val="20"/>
          <w:szCs w:val="20"/>
        </w:rPr>
      </w:pPr>
      <w:r>
        <w:rPr>
          <w:rFonts w:ascii="Calibri" w:hAnsi="Calibri"/>
          <w:b/>
          <w:sz w:val="20"/>
          <w:szCs w:val="20"/>
        </w:rPr>
        <w:t>Rozhodovanie o pridelení prostriedkov podľa súbehu</w:t>
      </w:r>
    </w:p>
    <w:p w14:paraId="3A4F27F8" w14:textId="19E09177" w:rsidR="00690EAC" w:rsidRPr="0069211D" w:rsidRDefault="00690EAC" w:rsidP="00690EAC">
      <w:pPr>
        <w:autoSpaceDN w:val="0"/>
        <w:jc w:val="center"/>
        <w:rPr>
          <w:rFonts w:ascii="Calibri" w:eastAsia="Calibri" w:hAnsi="Calibri" w:cs="Calibri"/>
          <w:b/>
          <w:sz w:val="20"/>
          <w:szCs w:val="20"/>
        </w:rPr>
      </w:pPr>
      <w:r>
        <w:rPr>
          <w:rFonts w:ascii="Calibri" w:hAnsi="Calibri"/>
          <w:b/>
          <w:sz w:val="20"/>
          <w:szCs w:val="20"/>
        </w:rPr>
        <w:t>Článok 11</w:t>
      </w:r>
    </w:p>
    <w:p w14:paraId="09BD2439" w14:textId="77777777" w:rsidR="00690EAC" w:rsidRPr="00690EAC" w:rsidRDefault="00690EAC" w:rsidP="00690EAC">
      <w:pPr>
        <w:tabs>
          <w:tab w:val="left" w:pos="720"/>
        </w:tabs>
        <w:autoSpaceDN w:val="0"/>
        <w:jc w:val="both"/>
        <w:rPr>
          <w:rFonts w:ascii="Calibri" w:eastAsia="Calibri" w:hAnsi="Calibri" w:cs="Calibri"/>
          <w:sz w:val="20"/>
          <w:szCs w:val="20"/>
          <w:lang w:val="sr-Cyrl-RS"/>
        </w:rPr>
      </w:pPr>
    </w:p>
    <w:p w14:paraId="1A48A670" w14:textId="731A2B09" w:rsidR="0062538E" w:rsidRPr="00EC0460" w:rsidRDefault="00690EAC"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V súlade s kritériami stanovenými v pravidlách a súbehu komisia zostaví zoznam hodnotenia a poradia uchádzačov v lehote, ktorá nesmie byť dlhšia ako 60 dní odo dňa uplynutia lehoty na predkladanie žiadostí a ktorá je zverejnená na oficiálnej webovej stránke sekretariátu.</w:t>
      </w:r>
    </w:p>
    <w:p w14:paraId="7477414C" w14:textId="76A624C6" w:rsidR="0062538E" w:rsidRPr="00EC0460" w:rsidRDefault="0062538E"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 xml:space="preserve">Účastníci majú právo nahliadnutia do odovzdaných prihlášok a pripojenej dokumentácie za tri dni po </w:t>
      </w:r>
      <w:r>
        <w:rPr>
          <w:rFonts w:ascii="Calibri" w:hAnsi="Calibri"/>
          <w:sz w:val="20"/>
          <w:szCs w:val="20"/>
        </w:rPr>
        <w:lastRenderedPageBreak/>
        <w:t>dni uverejnenia poradovníka.</w:t>
      </w:r>
    </w:p>
    <w:p w14:paraId="5EDDB5A4" w14:textId="6DA0650E" w:rsidR="0062538E" w:rsidRPr="00EC0460" w:rsidRDefault="0062538E"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Účastníci súbehu majú právo vzniesť námietky proti poradovníka uvedeného v odseku 1 do ôsmich dní odo dňa jeho zverejnenia.</w:t>
      </w:r>
    </w:p>
    <w:p w14:paraId="21F3FDAE" w14:textId="4AB619AC" w:rsidR="00735808" w:rsidRPr="00EC0460" w:rsidRDefault="00735808" w:rsidP="00735808">
      <w:pPr>
        <w:widowControl w:val="0"/>
        <w:autoSpaceDE w:val="0"/>
        <w:autoSpaceDN w:val="0"/>
        <w:ind w:firstLine="851"/>
        <w:jc w:val="both"/>
        <w:rPr>
          <w:rFonts w:ascii="Calibri" w:eastAsia="Calibri" w:hAnsi="Calibri" w:cs="Calibri"/>
          <w:sz w:val="20"/>
          <w:szCs w:val="20"/>
        </w:rPr>
      </w:pPr>
      <w:r>
        <w:rPr>
          <w:rFonts w:ascii="Calibri" w:hAnsi="Calibri"/>
          <w:sz w:val="20"/>
          <w:szCs w:val="20"/>
        </w:rPr>
        <w:t>Pokrajinský tajomník rozhodne o námietke do 15 dní odo dňa podania námietky vydaním rozhodnutia, ktoré musí byť odôvodnené.</w:t>
      </w:r>
    </w:p>
    <w:p w14:paraId="061B0EB2" w14:textId="61F4F9DF" w:rsidR="0062538E" w:rsidRPr="00EC0460" w:rsidRDefault="00735808"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Pokrajinský tajomník rozhodne o výbere programu/projektu vydaním rozhodnutia do 30 dní odo dňa uplynutia lehoty na podanie námietky.</w:t>
      </w:r>
    </w:p>
    <w:p w14:paraId="2EB58D92" w14:textId="1D13ED00" w:rsidR="00735808" w:rsidRPr="00EC0460" w:rsidRDefault="00735808"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Rozhodnutie z odseku 5 tohto článku je konečné.</w:t>
      </w:r>
    </w:p>
    <w:p w14:paraId="4519FB61" w14:textId="7913156B" w:rsidR="0062538E" w:rsidRPr="00EC0460" w:rsidRDefault="00735808"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Výsledky súbehu sa uverejňujú na webovej stránke sekretariátu.</w:t>
      </w:r>
    </w:p>
    <w:p w14:paraId="2FF35265" w14:textId="588EFC05" w:rsidR="005050C5" w:rsidRPr="00EC0460" w:rsidRDefault="005050C5" w:rsidP="00EC0460">
      <w:pPr>
        <w:pStyle w:val="BodyText"/>
        <w:spacing w:line="230" w:lineRule="auto"/>
        <w:ind w:right="118"/>
        <w:rPr>
          <w:rFonts w:asciiTheme="minorHAnsi" w:hAnsiTheme="minorHAnsi" w:cstheme="minorHAnsi"/>
          <w:noProof/>
          <w:sz w:val="20"/>
          <w:szCs w:val="20"/>
          <w:lang w:val="sr-Cyrl-RS"/>
        </w:rPr>
      </w:pPr>
    </w:p>
    <w:p w14:paraId="69078E45" w14:textId="3B9721AA" w:rsidR="005A0B58" w:rsidRPr="005A0B58" w:rsidRDefault="00DC2326" w:rsidP="005A0B58">
      <w:pPr>
        <w:pStyle w:val="BodyText"/>
        <w:spacing w:line="230" w:lineRule="auto"/>
        <w:ind w:left="113" w:right="118" w:firstLine="355"/>
        <w:jc w:val="center"/>
        <w:rPr>
          <w:rFonts w:ascii="Calibri" w:hAnsi="Calibri" w:cs="Calibri"/>
          <w:b/>
          <w:sz w:val="20"/>
          <w:szCs w:val="20"/>
        </w:rPr>
      </w:pPr>
      <w:r>
        <w:rPr>
          <w:rFonts w:asciiTheme="minorHAnsi" w:hAnsiTheme="minorHAnsi"/>
          <w:sz w:val="20"/>
          <w:szCs w:val="20"/>
        </w:rPr>
        <w:t xml:space="preserve">  </w:t>
      </w:r>
      <w:r>
        <w:rPr>
          <w:rFonts w:ascii="Calibri" w:hAnsi="Calibri"/>
          <w:b/>
          <w:sz w:val="20"/>
          <w:szCs w:val="20"/>
        </w:rPr>
        <w:t>Uzavieranie zmlúv</w:t>
      </w:r>
    </w:p>
    <w:p w14:paraId="61E9E10E" w14:textId="19EDF2F9" w:rsidR="005A0B58" w:rsidRPr="00EC0460" w:rsidRDefault="005A0B58" w:rsidP="005A0B58">
      <w:pPr>
        <w:widowControl w:val="0"/>
        <w:autoSpaceDE w:val="0"/>
        <w:autoSpaceDN w:val="0"/>
        <w:spacing w:line="230" w:lineRule="auto"/>
        <w:ind w:left="113" w:right="118" w:firstLine="355"/>
        <w:jc w:val="center"/>
        <w:rPr>
          <w:rFonts w:ascii="Calibri" w:hAnsi="Calibri" w:cs="Calibri"/>
          <w:b/>
          <w:sz w:val="20"/>
          <w:szCs w:val="20"/>
        </w:rPr>
      </w:pPr>
      <w:r>
        <w:rPr>
          <w:rFonts w:ascii="Calibri" w:hAnsi="Calibri"/>
          <w:b/>
          <w:sz w:val="20"/>
          <w:szCs w:val="20"/>
        </w:rPr>
        <w:t>Článok 12</w:t>
      </w:r>
    </w:p>
    <w:p w14:paraId="646BB6D1" w14:textId="77777777" w:rsidR="005A0B58" w:rsidRPr="005A0B58" w:rsidRDefault="005A0B58" w:rsidP="005A0B58">
      <w:pPr>
        <w:widowControl w:val="0"/>
        <w:autoSpaceDE w:val="0"/>
        <w:autoSpaceDN w:val="0"/>
        <w:rPr>
          <w:rFonts w:ascii="Calibri" w:eastAsia="Calibri" w:hAnsi="Calibri" w:cs="Calibri"/>
          <w:sz w:val="20"/>
          <w:szCs w:val="20"/>
          <w:lang w:val="sr-Cyrl-RS"/>
        </w:rPr>
      </w:pPr>
    </w:p>
    <w:p w14:paraId="13515CE0" w14:textId="0D34E93A" w:rsidR="005A0B58" w:rsidRPr="00EC0460" w:rsidRDefault="005A0B58" w:rsidP="005A0B58">
      <w:pPr>
        <w:widowControl w:val="0"/>
        <w:autoSpaceDE w:val="0"/>
        <w:autoSpaceDN w:val="0"/>
        <w:ind w:firstLine="464"/>
        <w:jc w:val="both"/>
        <w:rPr>
          <w:rFonts w:ascii="Calibri" w:eastAsia="Calibri" w:hAnsi="Calibri" w:cs="Calibri"/>
          <w:sz w:val="20"/>
          <w:szCs w:val="20"/>
        </w:rPr>
      </w:pPr>
      <w:r>
        <w:rPr>
          <w:rFonts w:ascii="Calibri" w:hAnsi="Calibri"/>
          <w:sz w:val="20"/>
          <w:szCs w:val="20"/>
        </w:rPr>
        <w:t>Pokrajinský sekretariát preberá povinnosť prideľovať finančné prostriedky na základe zmluvy a v zmysle zákona, ktorým sa upravuje rozpočtový systém.</w:t>
      </w:r>
    </w:p>
    <w:p w14:paraId="3B1BF231" w14:textId="16AE3352" w:rsidR="005050C5" w:rsidRPr="00EC0460" w:rsidRDefault="00EC0460" w:rsidP="00EC0460">
      <w:pPr>
        <w:shd w:val="clear" w:color="auto" w:fill="FFFFFF"/>
        <w:spacing w:after="150"/>
        <w:jc w:val="both"/>
        <w:rPr>
          <w:rFonts w:asciiTheme="minorHAnsi" w:hAnsiTheme="minorHAnsi" w:cstheme="minorHAnsi"/>
          <w:noProof/>
          <w:sz w:val="20"/>
          <w:szCs w:val="20"/>
        </w:rPr>
      </w:pPr>
      <w:r>
        <w:rPr>
          <w:rFonts w:asciiTheme="minorHAnsi" w:hAnsiTheme="minorHAnsi"/>
          <w:sz w:val="20"/>
          <w:szCs w:val="20"/>
        </w:rPr>
        <w:t xml:space="preserve">          Občianske združenia sú povinné pred uzavretím zmluvy predložiť sekretariátu vyhlásenie o tom, že finančné prostriedky na realizáciu schváleného programu alebo projektu už nie sú zabezpečené iným spôsobom, ako aj vyhlásenie o nejestvovaní konfliktu záujmov. Vyhlášky o prostriedkoch na stimuláciu programov alebo chýbajúcej časti prostriedkov na financovanie programov verejného záujmu realizovaných združeniami (vestník Sl. glasnik RS č. 16/2018).</w:t>
      </w:r>
    </w:p>
    <w:p w14:paraId="397CA5E2" w14:textId="32F01822" w:rsidR="005A0B58" w:rsidRPr="005A0B58" w:rsidRDefault="005A0B58" w:rsidP="005A0B58">
      <w:pPr>
        <w:widowControl w:val="0"/>
        <w:autoSpaceDE w:val="0"/>
        <w:autoSpaceDN w:val="0"/>
        <w:ind w:firstLine="464"/>
        <w:jc w:val="center"/>
        <w:rPr>
          <w:rFonts w:ascii="Calibri" w:eastAsia="Calibri" w:hAnsi="Calibri" w:cs="Calibri"/>
          <w:b/>
          <w:sz w:val="20"/>
          <w:szCs w:val="20"/>
        </w:rPr>
      </w:pPr>
      <w:r>
        <w:rPr>
          <w:rFonts w:ascii="Calibri" w:hAnsi="Calibri"/>
          <w:b/>
          <w:sz w:val="20"/>
          <w:szCs w:val="20"/>
        </w:rPr>
        <w:t>Vyplatenie pridelených prostriedkov</w:t>
      </w:r>
    </w:p>
    <w:p w14:paraId="7DF4B021" w14:textId="65FEF541" w:rsidR="005A0B58" w:rsidRPr="0069211D" w:rsidRDefault="005A0B58" w:rsidP="005A0B58">
      <w:pPr>
        <w:widowControl w:val="0"/>
        <w:autoSpaceDE w:val="0"/>
        <w:autoSpaceDN w:val="0"/>
        <w:ind w:firstLine="464"/>
        <w:jc w:val="center"/>
        <w:rPr>
          <w:rFonts w:ascii="Calibri" w:eastAsia="Calibri" w:hAnsi="Calibri" w:cs="Calibri"/>
          <w:b/>
          <w:color w:val="FF0000"/>
          <w:sz w:val="20"/>
          <w:szCs w:val="20"/>
        </w:rPr>
      </w:pPr>
      <w:r>
        <w:rPr>
          <w:rFonts w:ascii="Calibri" w:hAnsi="Calibri"/>
          <w:b/>
          <w:sz w:val="20"/>
          <w:szCs w:val="20"/>
        </w:rPr>
        <w:t>Článok 13</w:t>
      </w:r>
    </w:p>
    <w:p w14:paraId="2F15EACF" w14:textId="77777777" w:rsidR="005A0B58" w:rsidRPr="005A0B58" w:rsidRDefault="005A0B58" w:rsidP="005A0B58">
      <w:pPr>
        <w:widowControl w:val="0"/>
        <w:autoSpaceDE w:val="0"/>
        <w:autoSpaceDN w:val="0"/>
        <w:ind w:firstLine="464"/>
        <w:jc w:val="both"/>
        <w:rPr>
          <w:rFonts w:ascii="Calibri" w:eastAsia="Calibri" w:hAnsi="Calibri" w:cs="Calibri"/>
          <w:sz w:val="20"/>
          <w:szCs w:val="20"/>
          <w:lang w:val="sr-Cyrl-RS"/>
        </w:rPr>
      </w:pPr>
    </w:p>
    <w:p w14:paraId="76DDD4BF" w14:textId="007D1B24" w:rsidR="005A0B58" w:rsidRPr="005A0B58" w:rsidRDefault="00E27785"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         Pridelené prostriedky sa vyplácajú po uzavretí zmluvy a na základe individuálnych platobných rozhodnutí v súlade s dynamikou prílevu prostriedkov do rozpočtu AP Vojvodiny. </w:t>
      </w:r>
    </w:p>
    <w:p w14:paraId="3737A384" w14:textId="302861B2" w:rsidR="005A0B58" w:rsidRPr="005A0B58" w:rsidRDefault="00E27785"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          Ak prijímateľ prostriedkov nepodpíše zmluvu v lehote určenej sekretariátom, bude sa považovať, že odstúpil od podanej prihlášky.</w:t>
      </w:r>
    </w:p>
    <w:p w14:paraId="4C448C74" w14:textId="0130CAFC" w:rsidR="005A0B58" w:rsidRDefault="00E27785" w:rsidP="0073580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         V prípade, že z dôvodov, ktoré sekretariát nemôže ovplyvniť, nebude možné previesť pridelené finančné prostriedky na účty žiadateľa, sekretariát má právo zmluvu zrušiť.</w:t>
      </w:r>
    </w:p>
    <w:p w14:paraId="71D3C518" w14:textId="77777777" w:rsidR="00735808" w:rsidRPr="00735808" w:rsidRDefault="00735808" w:rsidP="00735808">
      <w:pPr>
        <w:widowControl w:val="0"/>
        <w:autoSpaceDE w:val="0"/>
        <w:autoSpaceDN w:val="0"/>
        <w:spacing w:line="100" w:lineRule="atLeast"/>
        <w:ind w:left="-284" w:right="-431" w:firstLine="283"/>
        <w:jc w:val="both"/>
        <w:rPr>
          <w:rFonts w:ascii="Calibri" w:eastAsia="Calibri" w:hAnsi="Calibri" w:cs="Calibri"/>
          <w:bCs/>
          <w:sz w:val="20"/>
          <w:szCs w:val="20"/>
          <w:lang w:val="sr-Cyrl-RS"/>
        </w:rPr>
      </w:pPr>
      <w:bookmarkStart w:id="0" w:name="_GoBack"/>
      <w:bookmarkEnd w:id="0"/>
    </w:p>
    <w:p w14:paraId="3D2CBD88" w14:textId="77777777" w:rsidR="005A0B58" w:rsidRPr="005A0B58" w:rsidRDefault="005A0B58" w:rsidP="005A0B58">
      <w:pPr>
        <w:widowControl w:val="0"/>
        <w:autoSpaceDE w:val="0"/>
        <w:autoSpaceDN w:val="0"/>
        <w:spacing w:line="230" w:lineRule="auto"/>
        <w:ind w:left="113" w:right="118" w:firstLine="355"/>
        <w:jc w:val="center"/>
        <w:rPr>
          <w:rFonts w:ascii="Calibri" w:eastAsia="Calibri" w:hAnsi="Calibri" w:cs="Calibri"/>
          <w:b/>
          <w:sz w:val="20"/>
          <w:szCs w:val="20"/>
        </w:rPr>
      </w:pPr>
      <w:r>
        <w:rPr>
          <w:rFonts w:ascii="Calibri" w:hAnsi="Calibri"/>
          <w:b/>
          <w:sz w:val="20"/>
          <w:szCs w:val="20"/>
        </w:rPr>
        <w:t>Použitie pridelených finančných prostriedkov a povinnosti prijímateľov finančných prostriedkov</w:t>
      </w:r>
    </w:p>
    <w:p w14:paraId="786FE511" w14:textId="0814BFB5" w:rsidR="005A0B58" w:rsidRPr="0069211D" w:rsidRDefault="005A0B58" w:rsidP="005A0B58">
      <w:pPr>
        <w:widowControl w:val="0"/>
        <w:autoSpaceDE w:val="0"/>
        <w:autoSpaceDN w:val="0"/>
        <w:spacing w:line="230" w:lineRule="auto"/>
        <w:ind w:left="113" w:right="118" w:firstLine="355"/>
        <w:jc w:val="center"/>
        <w:rPr>
          <w:rFonts w:ascii="Calibri" w:hAnsi="Calibri" w:cs="Calibri"/>
          <w:b/>
          <w:color w:val="FF0000"/>
          <w:sz w:val="20"/>
          <w:szCs w:val="20"/>
        </w:rPr>
      </w:pPr>
      <w:r>
        <w:rPr>
          <w:rFonts w:ascii="Calibri" w:hAnsi="Calibri"/>
          <w:b/>
          <w:sz w:val="20"/>
          <w:szCs w:val="20"/>
        </w:rPr>
        <w:t>Článok 14</w:t>
      </w:r>
    </w:p>
    <w:p w14:paraId="61CA991D" w14:textId="77777777" w:rsidR="005A0B58" w:rsidRPr="005A0B58" w:rsidRDefault="005A0B58" w:rsidP="007C4F9D">
      <w:pPr>
        <w:jc w:val="center"/>
        <w:rPr>
          <w:rFonts w:asciiTheme="minorHAnsi" w:hAnsiTheme="minorHAnsi" w:cstheme="minorHAnsi"/>
          <w:b/>
          <w:noProof/>
          <w:sz w:val="20"/>
          <w:szCs w:val="20"/>
          <w:lang w:val="sr-Cyrl-RS"/>
        </w:rPr>
      </w:pPr>
    </w:p>
    <w:p w14:paraId="0E979A0F" w14:textId="2CD779F5" w:rsidR="00E27785" w:rsidRPr="00EC0460" w:rsidRDefault="00E27785" w:rsidP="00E27785">
      <w:pPr>
        <w:jc w:val="both"/>
        <w:rPr>
          <w:rFonts w:ascii="Calibri" w:hAnsi="Calibri" w:cs="Calibri"/>
          <w:sz w:val="20"/>
          <w:szCs w:val="20"/>
        </w:rPr>
      </w:pPr>
      <w:r>
        <w:rPr>
          <w:rFonts w:ascii="Calibri" w:hAnsi="Calibri"/>
          <w:color w:val="FF0000"/>
          <w:sz w:val="20"/>
          <w:szCs w:val="20"/>
        </w:rPr>
        <w:t xml:space="preserve">           </w:t>
      </w:r>
      <w:r>
        <w:rPr>
          <w:rFonts w:ascii="Calibri" w:hAnsi="Calibri"/>
          <w:sz w:val="20"/>
          <w:szCs w:val="20"/>
        </w:rPr>
        <w:t xml:space="preserve">Prijímateľ je povinný pridelené finančné prostriedky použiť na ich účel a zákonne a minúť ich najneskôr do </w:t>
      </w:r>
      <w:r>
        <w:rPr>
          <w:rFonts w:ascii="Calibri" w:hAnsi="Calibri"/>
          <w:b/>
          <w:bCs/>
          <w:sz w:val="20"/>
          <w:szCs w:val="20"/>
        </w:rPr>
        <w:t>31. 12. 2026</w:t>
      </w:r>
      <w:r>
        <w:rPr>
          <w:rFonts w:ascii="Calibri" w:hAnsi="Calibri"/>
          <w:sz w:val="20"/>
          <w:szCs w:val="20"/>
        </w:rPr>
        <w:t xml:space="preserve"> a nevyčerpané finančné prostriedky vrátiť do rozpočtu AP Vojvodiny. Ak z opodstatnených dôvodov nie je možné realizovať určený účel v stanovenom termíne, je prijímateľ povinný podať žiadosť o predĺženie termínu realizácie, po čom bude vypracovaný dodatok k zmluve.</w:t>
      </w:r>
    </w:p>
    <w:p w14:paraId="31C0FE06" w14:textId="4E4A7F34" w:rsidR="00AF51CB" w:rsidRPr="00DC2326" w:rsidRDefault="00EC0460" w:rsidP="00EC0460">
      <w:pPr>
        <w:jc w:val="both"/>
        <w:rPr>
          <w:rFonts w:asciiTheme="minorHAnsi" w:hAnsiTheme="minorHAnsi" w:cstheme="minorHAnsi"/>
          <w:noProof/>
          <w:sz w:val="20"/>
          <w:szCs w:val="20"/>
        </w:rPr>
      </w:pPr>
      <w:r>
        <w:rPr>
          <w:rFonts w:asciiTheme="minorHAnsi" w:hAnsiTheme="minorHAnsi"/>
          <w:sz w:val="20"/>
          <w:szCs w:val="20"/>
        </w:rPr>
        <w:t xml:space="preserve">           Prijímateľ prostriedkov je povinný podať správu o používaní prostriedkov najneskôr za 15 (pätnásť) dní po lehote určenej na realizáciu účelu, na aký sú prostriedky pridelené, spolu so zodpovedajúcou dokumentáciou, ktorú overili zodpovedné osoby.</w:t>
      </w:r>
    </w:p>
    <w:p w14:paraId="53DE0AAA" w14:textId="0553FA5D" w:rsidR="00AF51CB" w:rsidRPr="00DC2326" w:rsidRDefault="00EC0460" w:rsidP="00EC0460">
      <w:pPr>
        <w:jc w:val="both"/>
        <w:rPr>
          <w:rFonts w:asciiTheme="minorHAnsi" w:hAnsiTheme="minorHAnsi" w:cstheme="minorHAnsi"/>
          <w:noProof/>
          <w:sz w:val="20"/>
          <w:szCs w:val="20"/>
        </w:rPr>
      </w:pPr>
      <w:r>
        <w:rPr>
          <w:rFonts w:asciiTheme="minorHAnsi" w:hAnsiTheme="minorHAnsi"/>
          <w:sz w:val="20"/>
          <w:szCs w:val="20"/>
        </w:rPr>
        <w:t xml:space="preserve">           Prijímateľovi, ktorý správu neodovzdá v stanovenej lehote, sa odošle upomienka.</w:t>
      </w:r>
    </w:p>
    <w:p w14:paraId="084BF779" w14:textId="6ABE7724" w:rsidR="00AF51CB" w:rsidRPr="00DC2326" w:rsidRDefault="00EC0460" w:rsidP="00EC0460">
      <w:pPr>
        <w:jc w:val="both"/>
        <w:rPr>
          <w:rFonts w:asciiTheme="minorHAnsi" w:hAnsiTheme="minorHAnsi" w:cstheme="minorHAnsi"/>
          <w:noProof/>
          <w:sz w:val="20"/>
          <w:szCs w:val="20"/>
        </w:rPr>
      </w:pPr>
      <w:r>
        <w:rPr>
          <w:rFonts w:asciiTheme="minorHAnsi" w:hAnsiTheme="minorHAnsi"/>
          <w:sz w:val="20"/>
          <w:szCs w:val="20"/>
        </w:rPr>
        <w:t xml:space="preserve">           Ak ani po 8 dňoch od doručenia upomienky nepredloží úplnú správu a finančnú správu, je príjemca povinný vrátiť prostriedky do rozpočtu APV a stratí právo podať prihlášku na ďalší súbeh.</w:t>
      </w:r>
    </w:p>
    <w:p w14:paraId="65619D05" w14:textId="5211B9CE" w:rsidR="00AF51CB" w:rsidRPr="00DC2326" w:rsidRDefault="00EC0460" w:rsidP="00F81C9E">
      <w:pPr>
        <w:jc w:val="both"/>
        <w:rPr>
          <w:rFonts w:asciiTheme="minorHAnsi" w:hAnsiTheme="minorHAnsi" w:cstheme="minorHAnsi"/>
          <w:noProof/>
          <w:sz w:val="20"/>
          <w:szCs w:val="20"/>
        </w:rPr>
      </w:pPr>
      <w:r>
        <w:rPr>
          <w:rFonts w:asciiTheme="minorHAnsi" w:hAnsiTheme="minorHAnsi"/>
          <w:sz w:val="20"/>
          <w:szCs w:val="20"/>
        </w:rPr>
        <w:t xml:space="preserve">            Prijímateľ je povinný vrátiť prijaté prostriedky do rozpočtu AP Vojvodiny, ak sa zistí, že prostriedky nie sú použité na realizáciu účelu, na ktorý boli pridelené.</w:t>
      </w:r>
    </w:p>
    <w:p w14:paraId="0B17F258" w14:textId="35779428" w:rsidR="005050C5" w:rsidRDefault="00293153" w:rsidP="00735808">
      <w:pPr>
        <w:ind w:firstLine="708"/>
        <w:jc w:val="both"/>
        <w:rPr>
          <w:rFonts w:asciiTheme="minorHAnsi" w:hAnsiTheme="minorHAnsi" w:cstheme="minorHAnsi"/>
          <w:b/>
          <w:noProof/>
          <w:sz w:val="20"/>
          <w:szCs w:val="20"/>
        </w:rPr>
      </w:pPr>
      <w:r>
        <w:rPr>
          <w:rFonts w:asciiTheme="minorHAnsi" w:hAnsiTheme="minorHAnsi"/>
          <w:sz w:val="20"/>
          <w:szCs w:val="20"/>
        </w:rPr>
        <w:t>V prípade pochybností o tom, že pridelené finančné prostriedky neboli účelovo použité, pokrajinský sekretariát začne konanie pred príslušnou rozpočtovou inšpekciou, aby kontroloval účel a zákonné využitie finančných prostriedkov.</w:t>
      </w:r>
      <w:r>
        <w:rPr>
          <w:rFonts w:asciiTheme="minorHAnsi" w:hAnsiTheme="minorHAnsi"/>
          <w:b/>
          <w:sz w:val="20"/>
          <w:szCs w:val="20"/>
        </w:rPr>
        <w:t xml:space="preserve">    </w:t>
      </w:r>
    </w:p>
    <w:p w14:paraId="52E53B01" w14:textId="3F1589F4" w:rsidR="005A0B58" w:rsidRDefault="005A0B58" w:rsidP="007C4F9D">
      <w:pPr>
        <w:jc w:val="both"/>
        <w:rPr>
          <w:rFonts w:asciiTheme="minorHAnsi" w:hAnsiTheme="minorHAnsi" w:cstheme="minorHAnsi"/>
          <w:b/>
          <w:noProof/>
          <w:sz w:val="20"/>
          <w:szCs w:val="20"/>
          <w:lang w:val="sr-Cyrl-RS"/>
        </w:rPr>
      </w:pPr>
    </w:p>
    <w:p w14:paraId="5F5E5AF5" w14:textId="77777777" w:rsidR="005A0B58" w:rsidRPr="005A0B58" w:rsidRDefault="005A0B58" w:rsidP="00E27785">
      <w:pPr>
        <w:shd w:val="clear" w:color="auto" w:fill="FFFFFF"/>
        <w:jc w:val="center"/>
        <w:rPr>
          <w:rFonts w:ascii="Calibri" w:eastAsia="Calibri" w:hAnsi="Calibri" w:cs="Calibri"/>
          <w:b/>
          <w:bCs/>
          <w:sz w:val="20"/>
          <w:szCs w:val="20"/>
        </w:rPr>
      </w:pPr>
      <w:r>
        <w:rPr>
          <w:rFonts w:ascii="Calibri" w:hAnsi="Calibri"/>
          <w:b/>
          <w:bCs/>
          <w:sz w:val="20"/>
          <w:szCs w:val="20"/>
        </w:rPr>
        <w:t>Sledovanie realizácie</w:t>
      </w:r>
    </w:p>
    <w:p w14:paraId="3E76AFC8" w14:textId="6BA9FBE7" w:rsidR="00BA1820" w:rsidRPr="00EC0460" w:rsidRDefault="00BA1820" w:rsidP="00E27785">
      <w:pPr>
        <w:jc w:val="center"/>
        <w:rPr>
          <w:rFonts w:asciiTheme="minorHAnsi" w:hAnsiTheme="minorHAnsi" w:cstheme="minorHAnsi"/>
          <w:b/>
          <w:noProof/>
          <w:color w:val="FF0000"/>
          <w:sz w:val="20"/>
          <w:szCs w:val="20"/>
        </w:rPr>
      </w:pPr>
      <w:r>
        <w:rPr>
          <w:rFonts w:asciiTheme="minorHAnsi" w:hAnsiTheme="minorHAnsi"/>
          <w:b/>
          <w:sz w:val="20"/>
          <w:szCs w:val="20"/>
        </w:rPr>
        <w:t xml:space="preserve">Článok 15 </w:t>
      </w:r>
    </w:p>
    <w:p w14:paraId="4519F877" w14:textId="77777777" w:rsidR="00106652" w:rsidRPr="00106652" w:rsidRDefault="00106652" w:rsidP="007C4F9D">
      <w:pPr>
        <w:jc w:val="center"/>
        <w:rPr>
          <w:rFonts w:asciiTheme="minorHAnsi" w:hAnsiTheme="minorHAnsi" w:cstheme="minorHAnsi"/>
          <w:noProof/>
          <w:sz w:val="20"/>
          <w:szCs w:val="20"/>
          <w:lang w:val="sr-Cyrl-RS"/>
        </w:rPr>
      </w:pPr>
    </w:p>
    <w:p w14:paraId="643646FF" w14:textId="618141CA" w:rsidR="00BA1820" w:rsidRPr="00BA1820" w:rsidRDefault="00F81C9E" w:rsidP="00F81C9E">
      <w:pPr>
        <w:jc w:val="both"/>
        <w:rPr>
          <w:rFonts w:asciiTheme="minorHAnsi" w:hAnsiTheme="minorHAnsi" w:cstheme="minorHAnsi"/>
          <w:noProof/>
          <w:sz w:val="20"/>
          <w:szCs w:val="20"/>
        </w:rPr>
      </w:pPr>
      <w:r>
        <w:rPr>
          <w:rFonts w:asciiTheme="minorHAnsi" w:hAnsiTheme="minorHAnsi"/>
          <w:sz w:val="20"/>
          <w:szCs w:val="20"/>
        </w:rPr>
        <w:tab/>
        <w:t>Z dôvodu sledovania realizácie programu alebo projektu sekretariát môže realizovať monitorovacie návštevy.</w:t>
      </w:r>
    </w:p>
    <w:p w14:paraId="114E8EAA" w14:textId="51A813B0" w:rsidR="00BA1820" w:rsidRPr="00BA1820" w:rsidRDefault="00F81C9E" w:rsidP="00F81C9E">
      <w:pPr>
        <w:jc w:val="both"/>
        <w:rPr>
          <w:rFonts w:asciiTheme="minorHAnsi" w:hAnsiTheme="minorHAnsi" w:cstheme="minorHAnsi"/>
          <w:noProof/>
          <w:sz w:val="20"/>
          <w:szCs w:val="20"/>
        </w:rPr>
      </w:pPr>
      <w:r>
        <w:rPr>
          <w:rFonts w:asciiTheme="minorHAnsi" w:hAnsiTheme="minorHAnsi"/>
          <w:sz w:val="20"/>
          <w:szCs w:val="20"/>
        </w:rPr>
        <w:tab/>
        <w:t>V prípade programov a projektov, ktoré trvajú dlhšie ako šesť mesiacov a ktorých schválené finančné prostriedky presahujú 500 000,00 dinárov, ako aj programov alebo projektov, ktoré trvajú dlhšie ako jeden rok, sekretariát vykonáva počas programu alebo projektu najmenej jednu monitorovaciu návštevu, resp. najmenej raz ročne.</w:t>
      </w:r>
    </w:p>
    <w:p w14:paraId="72EC65B5" w14:textId="3F829A11" w:rsidR="005050C5" w:rsidRPr="00E27785" w:rsidRDefault="00BA1820" w:rsidP="00E27785">
      <w:pPr>
        <w:ind w:firstLine="708"/>
        <w:jc w:val="both"/>
        <w:rPr>
          <w:rFonts w:asciiTheme="minorHAnsi" w:hAnsiTheme="minorHAnsi" w:cstheme="minorHAnsi"/>
          <w:noProof/>
          <w:sz w:val="20"/>
          <w:szCs w:val="20"/>
        </w:rPr>
      </w:pPr>
      <w:r>
        <w:rPr>
          <w:rFonts w:asciiTheme="minorHAnsi" w:hAnsiTheme="minorHAnsi"/>
          <w:sz w:val="20"/>
          <w:szCs w:val="20"/>
        </w:rPr>
        <w:t>Sekretariát zostavuje správu o monitorovacej návšteve za 10 dní po dni uskutočnenia návštevy.</w:t>
      </w:r>
    </w:p>
    <w:p w14:paraId="7A50F0BA" w14:textId="01285D9E" w:rsidR="00BA1820" w:rsidRPr="00E27785" w:rsidRDefault="005A0B58" w:rsidP="00E27785">
      <w:pPr>
        <w:widowControl w:val="0"/>
        <w:autoSpaceDE w:val="0"/>
        <w:autoSpaceDN w:val="0"/>
        <w:ind w:left="113" w:right="118" w:hanging="23"/>
        <w:jc w:val="center"/>
        <w:rPr>
          <w:rFonts w:ascii="Calibri" w:eastAsia="Calibri" w:hAnsi="Calibri" w:cs="Calibri"/>
          <w:b/>
          <w:sz w:val="20"/>
          <w:szCs w:val="20"/>
        </w:rPr>
      </w:pPr>
      <w:r>
        <w:rPr>
          <w:rFonts w:ascii="Calibri" w:hAnsi="Calibri"/>
          <w:b/>
          <w:sz w:val="20"/>
          <w:szCs w:val="20"/>
        </w:rPr>
        <w:lastRenderedPageBreak/>
        <w:t>Záverečné ustanovenia</w:t>
      </w:r>
    </w:p>
    <w:p w14:paraId="6DAB9B3D" w14:textId="16540C7E" w:rsidR="00AF51CB" w:rsidRDefault="00AF51CB" w:rsidP="00E27785">
      <w:pPr>
        <w:jc w:val="center"/>
        <w:rPr>
          <w:rFonts w:asciiTheme="minorHAnsi" w:hAnsiTheme="minorHAnsi" w:cstheme="minorHAnsi"/>
          <w:b/>
          <w:noProof/>
          <w:color w:val="FF0000"/>
          <w:sz w:val="20"/>
          <w:szCs w:val="20"/>
        </w:rPr>
      </w:pPr>
      <w:r>
        <w:rPr>
          <w:rFonts w:asciiTheme="minorHAnsi" w:hAnsiTheme="minorHAnsi"/>
          <w:b/>
          <w:sz w:val="20"/>
          <w:szCs w:val="20"/>
        </w:rPr>
        <w:t>Článok 16</w:t>
      </w:r>
      <w:r>
        <w:rPr>
          <w:rFonts w:asciiTheme="minorHAnsi" w:hAnsiTheme="minorHAnsi"/>
          <w:b/>
          <w:strike/>
          <w:sz w:val="20"/>
          <w:szCs w:val="20"/>
        </w:rPr>
        <w:t xml:space="preserve"> </w:t>
      </w:r>
    </w:p>
    <w:p w14:paraId="6D2F851B" w14:textId="77777777" w:rsidR="00E27785" w:rsidRPr="0069211D" w:rsidRDefault="00E27785" w:rsidP="00E27785">
      <w:pPr>
        <w:jc w:val="center"/>
        <w:rPr>
          <w:rFonts w:asciiTheme="minorHAnsi" w:hAnsiTheme="minorHAnsi" w:cstheme="minorHAnsi"/>
          <w:b/>
          <w:noProof/>
          <w:color w:val="FF0000"/>
          <w:sz w:val="20"/>
          <w:szCs w:val="20"/>
          <w:lang w:val="sr-Cyrl-RS"/>
        </w:rPr>
      </w:pPr>
    </w:p>
    <w:p w14:paraId="128D6BF8" w14:textId="77777777" w:rsidR="00106652" w:rsidRPr="00106652" w:rsidRDefault="00106652" w:rsidP="00106652">
      <w:pPr>
        <w:widowControl w:val="0"/>
        <w:autoSpaceDE w:val="0"/>
        <w:autoSpaceDN w:val="0"/>
        <w:ind w:firstLine="468"/>
        <w:jc w:val="both"/>
        <w:rPr>
          <w:rFonts w:ascii="Calibri" w:eastAsia="Calibri" w:hAnsi="Calibri" w:cs="Calibri"/>
          <w:sz w:val="20"/>
          <w:szCs w:val="20"/>
        </w:rPr>
      </w:pPr>
      <w:r>
        <w:rPr>
          <w:rFonts w:ascii="Calibri" w:hAnsi="Calibri"/>
          <w:sz w:val="20"/>
          <w:szCs w:val="20"/>
        </w:rPr>
        <w:t>Tieto pravidlá nadobúdajú účinnosť dňom uverejnenia v Úradnom vestníku Autonómnej pokrajiny Vojvodiny a uverejňujú sa aj na oficiálnom webovom sídle Pokrajinského sekretariátu vzdelávania, predpisov, správy a národnostných menšín – národnostných spoločenstiev.</w:t>
      </w:r>
    </w:p>
    <w:p w14:paraId="5673CE67" w14:textId="77777777" w:rsidR="00106652" w:rsidRPr="00106652" w:rsidRDefault="00106652" w:rsidP="00106652">
      <w:pPr>
        <w:widowControl w:val="0"/>
        <w:autoSpaceDE w:val="0"/>
        <w:autoSpaceDN w:val="0"/>
        <w:ind w:firstLine="468"/>
        <w:jc w:val="both"/>
        <w:rPr>
          <w:rFonts w:ascii="Calibri" w:eastAsia="Calibri" w:hAnsi="Calibri" w:cs="Calibri"/>
          <w:sz w:val="20"/>
          <w:szCs w:val="20"/>
          <w:lang w:val="sr-Cyrl-RS"/>
        </w:rPr>
      </w:pPr>
    </w:p>
    <w:p w14:paraId="43C6F61E" w14:textId="77777777" w:rsidR="00735808" w:rsidRDefault="00735808" w:rsidP="007C4F9D">
      <w:pPr>
        <w:jc w:val="center"/>
        <w:rPr>
          <w:rFonts w:asciiTheme="minorHAnsi" w:hAnsiTheme="minorHAnsi" w:cstheme="minorHAnsi"/>
          <w:noProof/>
          <w:sz w:val="20"/>
          <w:szCs w:val="20"/>
          <w:lang w:val="sr-Cyrl-RS"/>
        </w:rPr>
      </w:pPr>
    </w:p>
    <w:p w14:paraId="40F90259" w14:textId="30F1B559" w:rsidR="00AF51CB" w:rsidRPr="00DC2326" w:rsidRDefault="00AF51CB" w:rsidP="007C4F9D">
      <w:pPr>
        <w:jc w:val="center"/>
        <w:rPr>
          <w:rFonts w:asciiTheme="minorHAnsi" w:hAnsiTheme="minorHAnsi" w:cstheme="minorHAnsi"/>
          <w:noProof/>
          <w:sz w:val="20"/>
          <w:szCs w:val="20"/>
        </w:rPr>
      </w:pPr>
      <w:r>
        <w:rPr>
          <w:rFonts w:asciiTheme="minorHAnsi" w:hAnsiTheme="minorHAnsi"/>
          <w:sz w:val="20"/>
          <w:szCs w:val="20"/>
        </w:rPr>
        <w:t>POKRAJINSKÝ SEKRETARIÁT VZDELÁVANIA, PREDPISOV, SPRÁVY A</w:t>
      </w:r>
    </w:p>
    <w:p w14:paraId="2BDBE42E" w14:textId="42DCAE1F" w:rsidR="00AF51CB" w:rsidRDefault="00AF51CB" w:rsidP="007C4F9D">
      <w:pPr>
        <w:jc w:val="center"/>
        <w:rPr>
          <w:rFonts w:asciiTheme="minorHAnsi" w:hAnsiTheme="minorHAnsi" w:cstheme="minorHAnsi"/>
          <w:noProof/>
          <w:sz w:val="20"/>
          <w:szCs w:val="20"/>
        </w:rPr>
      </w:pPr>
      <w:r>
        <w:rPr>
          <w:rFonts w:asciiTheme="minorHAnsi" w:hAnsiTheme="minorHAnsi"/>
          <w:sz w:val="20"/>
          <w:szCs w:val="20"/>
        </w:rPr>
        <w:t xml:space="preserve"> NÁRODNOSTNÝCH MENŠÍN – NÁRODNOSTNÝCH SPOLOČENSTIEV</w:t>
      </w:r>
    </w:p>
    <w:p w14:paraId="2710B135" w14:textId="466AFED8" w:rsidR="00735808" w:rsidRDefault="00735808" w:rsidP="007C4F9D">
      <w:pPr>
        <w:jc w:val="center"/>
        <w:rPr>
          <w:rFonts w:asciiTheme="minorHAnsi" w:hAnsiTheme="minorHAnsi" w:cstheme="minorHAnsi"/>
          <w:noProof/>
          <w:sz w:val="20"/>
          <w:szCs w:val="20"/>
          <w:lang w:val="sr-Cyrl-RS"/>
        </w:rPr>
      </w:pPr>
    </w:p>
    <w:p w14:paraId="11BF6DFA" w14:textId="77777777" w:rsidR="00735808" w:rsidRPr="00DC2326" w:rsidRDefault="00735808" w:rsidP="007C4F9D">
      <w:pPr>
        <w:jc w:val="center"/>
        <w:rPr>
          <w:rFonts w:asciiTheme="minorHAnsi" w:hAnsiTheme="minorHAnsi" w:cstheme="minorHAnsi"/>
          <w:noProof/>
          <w:sz w:val="20"/>
          <w:szCs w:val="20"/>
          <w:lang w:val="sr-Cyrl-RS"/>
        </w:rPr>
      </w:pPr>
    </w:p>
    <w:p w14:paraId="2DCD7601" w14:textId="77777777" w:rsidR="00AF51CB" w:rsidRPr="0031703C" w:rsidRDefault="00AF51CB" w:rsidP="007C4F9D">
      <w:pPr>
        <w:jc w:val="both"/>
        <w:rPr>
          <w:rFonts w:asciiTheme="minorHAnsi" w:hAnsiTheme="minorHAnsi" w:cstheme="minorHAnsi"/>
          <w:noProof/>
          <w:sz w:val="10"/>
          <w:szCs w:val="20"/>
          <w:lang w:val="sr-Cyrl-RS"/>
        </w:rPr>
      </w:pPr>
    </w:p>
    <w:p w14:paraId="0AD61E3E" w14:textId="441FF860" w:rsidR="00AF51CB" w:rsidRPr="00A506AE" w:rsidRDefault="00AF51CB" w:rsidP="007C4F9D">
      <w:pPr>
        <w:jc w:val="both"/>
        <w:rPr>
          <w:rFonts w:asciiTheme="minorHAnsi" w:hAnsiTheme="minorHAnsi" w:cstheme="minorHAnsi"/>
          <w:noProof/>
          <w:sz w:val="20"/>
          <w:szCs w:val="20"/>
        </w:rPr>
      </w:pPr>
      <w:r>
        <w:rPr>
          <w:rFonts w:asciiTheme="minorHAnsi" w:hAnsiTheme="minorHAnsi"/>
          <w:sz w:val="20"/>
          <w:szCs w:val="20"/>
        </w:rPr>
        <w:t>Číslo: 000783473 2026 09427 001 001 000 001</w:t>
      </w:r>
    </w:p>
    <w:p w14:paraId="2DDF273A" w14:textId="58869FEE" w:rsidR="00AF51CB" w:rsidRPr="001F5B3E" w:rsidRDefault="007A7E0D" w:rsidP="007C4F9D">
      <w:pPr>
        <w:jc w:val="both"/>
        <w:rPr>
          <w:rFonts w:asciiTheme="minorHAnsi" w:hAnsiTheme="minorHAnsi" w:cstheme="minorHAnsi"/>
          <w:noProof/>
          <w:sz w:val="20"/>
          <w:szCs w:val="20"/>
        </w:rPr>
      </w:pPr>
      <w:r>
        <w:rPr>
          <w:rFonts w:asciiTheme="minorHAnsi" w:hAnsiTheme="minorHAnsi"/>
          <w:sz w:val="20"/>
          <w:szCs w:val="20"/>
        </w:rPr>
        <w:t>Nový Sad 27. 2. 2026</w:t>
      </w:r>
    </w:p>
    <w:p w14:paraId="31325A45" w14:textId="535303A3" w:rsidR="00AF51CB" w:rsidRPr="00A42101" w:rsidRDefault="00AF51CB" w:rsidP="007C4F9D">
      <w:pPr>
        <w:ind w:left="5016"/>
        <w:jc w:val="both"/>
        <w:rPr>
          <w:rFonts w:asciiTheme="minorHAnsi" w:hAnsiTheme="minorHAnsi" w:cstheme="minorHAnsi"/>
          <w:noProof/>
          <w:sz w:val="20"/>
          <w:szCs w:val="20"/>
        </w:rPr>
      </w:pPr>
      <w:r>
        <w:rPr>
          <w:rFonts w:asciiTheme="minorHAnsi" w:hAnsiTheme="minorHAnsi"/>
          <w:sz w:val="20"/>
          <w:szCs w:val="20"/>
        </w:rPr>
        <w:t xml:space="preserve">                       POKRAJINSKÝ TAJOMNÍK</w:t>
      </w:r>
    </w:p>
    <w:p w14:paraId="38B769C1" w14:textId="52C7E0E3" w:rsidR="00106652" w:rsidRPr="00A42101" w:rsidRDefault="00106652" w:rsidP="00106652">
      <w:pPr>
        <w:ind w:left="4956"/>
        <w:rPr>
          <w:rFonts w:asciiTheme="minorHAnsi" w:hAnsiTheme="minorHAnsi" w:cstheme="minorHAnsi"/>
          <w:noProof/>
          <w:sz w:val="20"/>
          <w:szCs w:val="20"/>
        </w:rPr>
      </w:pPr>
      <w:r>
        <w:rPr>
          <w:rFonts w:asciiTheme="minorHAnsi" w:hAnsiTheme="minorHAnsi"/>
          <w:sz w:val="20"/>
          <w:szCs w:val="20"/>
        </w:rPr>
        <w:t xml:space="preserve">                                    Róbert Ótott</w:t>
      </w:r>
    </w:p>
    <w:p w14:paraId="688372CB" w14:textId="44BC3EAA" w:rsidR="00581AD6" w:rsidRPr="003B2C38" w:rsidRDefault="00023FE4" w:rsidP="00F81C9E">
      <w:pPr>
        <w:tabs>
          <w:tab w:val="center" w:pos="7200"/>
        </w:tabs>
        <w:rPr>
          <w:rFonts w:asciiTheme="minorHAnsi" w:hAnsiTheme="minorHAnsi" w:cstheme="minorHAnsi"/>
          <w:b/>
          <w:noProof/>
          <w:sz w:val="20"/>
          <w:szCs w:val="20"/>
        </w:rPr>
      </w:pPr>
      <w:r>
        <w:rPr>
          <w:rFonts w:asciiTheme="minorHAnsi" w:hAnsiTheme="minorHAnsi"/>
          <w:b/>
          <w:sz w:val="20"/>
          <w:szCs w:val="20"/>
        </w:rPr>
        <w:t xml:space="preserve">                           </w:t>
      </w:r>
    </w:p>
    <w:sectPr w:rsidR="00581AD6" w:rsidRPr="003B2C38" w:rsidSect="00BA1820">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1A50C8A"/>
    <w:multiLevelType w:val="hybridMultilevel"/>
    <w:tmpl w:val="5C0217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1C970D2"/>
    <w:multiLevelType w:val="hybridMultilevel"/>
    <w:tmpl w:val="E0AE1CB0"/>
    <w:lvl w:ilvl="0" w:tplc="F0A21016">
      <w:numFmt w:val="bullet"/>
      <w:lvlText w:val="–"/>
      <w:lvlJc w:val="left"/>
      <w:pPr>
        <w:tabs>
          <w:tab w:val="num" w:pos="825"/>
        </w:tabs>
        <w:ind w:left="825" w:hanging="360"/>
      </w:pPr>
      <w:rPr>
        <w:rFonts w:ascii="Calibri" w:eastAsia="Times New Roman" w:hAnsi="Calibri" w:cs="Times New Roman" w:hint="default"/>
        <w:b/>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5" w15:restartNumberingAfterBreak="0">
    <w:nsid w:val="16D22B52"/>
    <w:multiLevelType w:val="hybridMultilevel"/>
    <w:tmpl w:val="34B8D3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9B436B6"/>
    <w:multiLevelType w:val="hybridMultilevel"/>
    <w:tmpl w:val="31B8C5F4"/>
    <w:lvl w:ilvl="0" w:tplc="F0A21016">
      <w:numFmt w:val="bullet"/>
      <w:lvlText w:val="–"/>
      <w:lvlJc w:val="left"/>
      <w:pPr>
        <w:ind w:left="90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DE763B6"/>
    <w:multiLevelType w:val="hybridMultilevel"/>
    <w:tmpl w:val="7A36DD7E"/>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D146F9"/>
    <w:multiLevelType w:val="hybridMultilevel"/>
    <w:tmpl w:val="F7701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3"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4" w15:restartNumberingAfterBreak="0">
    <w:nsid w:val="3BBA0CC5"/>
    <w:multiLevelType w:val="hybridMultilevel"/>
    <w:tmpl w:val="D734643A"/>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3F090159"/>
    <w:multiLevelType w:val="hybridMultilevel"/>
    <w:tmpl w:val="90128D5A"/>
    <w:lvl w:ilvl="0" w:tplc="2146001C">
      <w:start w:val="21"/>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E6AFB"/>
    <w:multiLevelType w:val="hybridMultilevel"/>
    <w:tmpl w:val="E0EEAA6A"/>
    <w:lvl w:ilvl="0" w:tplc="54606FD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9" w15:restartNumberingAfterBreak="0">
    <w:nsid w:val="53326D9A"/>
    <w:multiLevelType w:val="hybridMultilevel"/>
    <w:tmpl w:val="524E11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B5511FC"/>
    <w:multiLevelType w:val="hybridMultilevel"/>
    <w:tmpl w:val="C17E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15:restartNumberingAfterBreak="0">
    <w:nsid w:val="647B1704"/>
    <w:multiLevelType w:val="hybridMultilevel"/>
    <w:tmpl w:val="774E6EA0"/>
    <w:lvl w:ilvl="0" w:tplc="04090001">
      <w:start w:val="1"/>
      <w:numFmt w:val="bullet"/>
      <w:lvlText w:val=""/>
      <w:lvlJc w:val="left"/>
      <w:pPr>
        <w:tabs>
          <w:tab w:val="num" w:pos="825"/>
        </w:tabs>
        <w:ind w:left="825" w:hanging="360"/>
      </w:pPr>
      <w:rPr>
        <w:rFonts w:ascii="Symbol" w:hAnsi="Symbol" w:hint="default"/>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3" w15:restartNumberingAfterBreak="0">
    <w:nsid w:val="6B486F3C"/>
    <w:multiLevelType w:val="hybridMultilevel"/>
    <w:tmpl w:val="4F16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043BA3"/>
    <w:multiLevelType w:val="hybridMultilevel"/>
    <w:tmpl w:val="200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num>
  <w:num w:numId="9">
    <w:abstractNumId w:val="2"/>
  </w:num>
  <w:num w:numId="10">
    <w:abstractNumId w:val="13"/>
  </w:num>
  <w:num w:numId="11">
    <w:abstractNumId w:val="1"/>
  </w:num>
  <w:num w:numId="12">
    <w:abstractNumId w:val="14"/>
  </w:num>
  <w:num w:numId="13">
    <w:abstractNumId w:val="2"/>
  </w:num>
  <w:num w:numId="14">
    <w:abstractNumId w:val="6"/>
  </w:num>
  <w:num w:numId="15">
    <w:abstractNumId w:val="12"/>
  </w:num>
  <w:num w:numId="16">
    <w:abstractNumId w:val="22"/>
  </w:num>
  <w:num w:numId="17">
    <w:abstractNumId w:val="4"/>
  </w:num>
  <w:num w:numId="18">
    <w:abstractNumId w:val="15"/>
  </w:num>
  <w:num w:numId="19">
    <w:abstractNumId w:val="9"/>
  </w:num>
  <w:num w:numId="20">
    <w:abstractNumId w:val="16"/>
  </w:num>
  <w:num w:numId="21">
    <w:abstractNumId w:val="7"/>
  </w:num>
  <w:num w:numId="22">
    <w:abstractNumId w:val="3"/>
  </w:num>
  <w:num w:numId="23">
    <w:abstractNumId w:val="14"/>
  </w:num>
  <w:num w:numId="24">
    <w:abstractNumId w:val="25"/>
  </w:num>
  <w:num w:numId="25">
    <w:abstractNumId w:val="26"/>
  </w:num>
  <w:num w:numId="26">
    <w:abstractNumId w:val="10"/>
  </w:num>
  <w:num w:numId="27">
    <w:abstractNumId w:val="24"/>
  </w:num>
  <w:num w:numId="28">
    <w:abstractNumId w:val="11"/>
  </w:num>
  <w:num w:numId="29">
    <w:abstractNumId w:val="20"/>
  </w:num>
  <w:num w:numId="30">
    <w:abstractNumId w:val="23"/>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1F1D"/>
    <w:rsid w:val="00022E50"/>
    <w:rsid w:val="00023FE4"/>
    <w:rsid w:val="00042ED9"/>
    <w:rsid w:val="000D5B41"/>
    <w:rsid w:val="00106652"/>
    <w:rsid w:val="00112F48"/>
    <w:rsid w:val="00115383"/>
    <w:rsid w:val="0012726C"/>
    <w:rsid w:val="00193C77"/>
    <w:rsid w:val="001A010A"/>
    <w:rsid w:val="001D405C"/>
    <w:rsid w:val="001F5B3E"/>
    <w:rsid w:val="001F5B98"/>
    <w:rsid w:val="002440DA"/>
    <w:rsid w:val="0028472F"/>
    <w:rsid w:val="00291FBF"/>
    <w:rsid w:val="00293153"/>
    <w:rsid w:val="002D081C"/>
    <w:rsid w:val="0031703C"/>
    <w:rsid w:val="003249CF"/>
    <w:rsid w:val="0033261E"/>
    <w:rsid w:val="00336427"/>
    <w:rsid w:val="00337135"/>
    <w:rsid w:val="00357D40"/>
    <w:rsid w:val="003B2C38"/>
    <w:rsid w:val="003D2025"/>
    <w:rsid w:val="004377CD"/>
    <w:rsid w:val="0049576F"/>
    <w:rsid w:val="004A7EC8"/>
    <w:rsid w:val="004B0921"/>
    <w:rsid w:val="00502B92"/>
    <w:rsid w:val="005050C5"/>
    <w:rsid w:val="00512396"/>
    <w:rsid w:val="0056419C"/>
    <w:rsid w:val="00580178"/>
    <w:rsid w:val="005803D3"/>
    <w:rsid w:val="00581AD6"/>
    <w:rsid w:val="005A0B58"/>
    <w:rsid w:val="005A2B2A"/>
    <w:rsid w:val="005B0162"/>
    <w:rsid w:val="005C6114"/>
    <w:rsid w:val="005D47C8"/>
    <w:rsid w:val="005F1430"/>
    <w:rsid w:val="005F7F4C"/>
    <w:rsid w:val="00620957"/>
    <w:rsid w:val="0062538E"/>
    <w:rsid w:val="00627CFF"/>
    <w:rsid w:val="00644E16"/>
    <w:rsid w:val="00690EAC"/>
    <w:rsid w:val="0069211D"/>
    <w:rsid w:val="006C515A"/>
    <w:rsid w:val="0070011A"/>
    <w:rsid w:val="00700E32"/>
    <w:rsid w:val="00704F4C"/>
    <w:rsid w:val="0070701A"/>
    <w:rsid w:val="00707390"/>
    <w:rsid w:val="00715CF2"/>
    <w:rsid w:val="00735808"/>
    <w:rsid w:val="00752772"/>
    <w:rsid w:val="00761995"/>
    <w:rsid w:val="00765FBF"/>
    <w:rsid w:val="007673C0"/>
    <w:rsid w:val="007814A3"/>
    <w:rsid w:val="00787739"/>
    <w:rsid w:val="00787A64"/>
    <w:rsid w:val="0079728B"/>
    <w:rsid w:val="007A7E0D"/>
    <w:rsid w:val="007C1739"/>
    <w:rsid w:val="007C4F9D"/>
    <w:rsid w:val="007E6776"/>
    <w:rsid w:val="007F523B"/>
    <w:rsid w:val="008054F8"/>
    <w:rsid w:val="008236DD"/>
    <w:rsid w:val="00882344"/>
    <w:rsid w:val="008C6CF7"/>
    <w:rsid w:val="008D7279"/>
    <w:rsid w:val="008F4194"/>
    <w:rsid w:val="009012E7"/>
    <w:rsid w:val="00930D0E"/>
    <w:rsid w:val="009426A5"/>
    <w:rsid w:val="009765BA"/>
    <w:rsid w:val="009A2541"/>
    <w:rsid w:val="009C2DE0"/>
    <w:rsid w:val="009C33DD"/>
    <w:rsid w:val="009F5B6E"/>
    <w:rsid w:val="00A42101"/>
    <w:rsid w:val="00A506AE"/>
    <w:rsid w:val="00A5426E"/>
    <w:rsid w:val="00A54D89"/>
    <w:rsid w:val="00A718B1"/>
    <w:rsid w:val="00AA00D2"/>
    <w:rsid w:val="00AE1707"/>
    <w:rsid w:val="00AF4244"/>
    <w:rsid w:val="00AF51CB"/>
    <w:rsid w:val="00B20C83"/>
    <w:rsid w:val="00B35E38"/>
    <w:rsid w:val="00B4389E"/>
    <w:rsid w:val="00B475EA"/>
    <w:rsid w:val="00B50DFC"/>
    <w:rsid w:val="00B625F3"/>
    <w:rsid w:val="00B77114"/>
    <w:rsid w:val="00B815E6"/>
    <w:rsid w:val="00B91696"/>
    <w:rsid w:val="00BA1820"/>
    <w:rsid w:val="00BB7DAC"/>
    <w:rsid w:val="00BC0966"/>
    <w:rsid w:val="00BC5973"/>
    <w:rsid w:val="00BE5033"/>
    <w:rsid w:val="00C03DA4"/>
    <w:rsid w:val="00C11E4D"/>
    <w:rsid w:val="00C16449"/>
    <w:rsid w:val="00C2111A"/>
    <w:rsid w:val="00C24B47"/>
    <w:rsid w:val="00CF2ECE"/>
    <w:rsid w:val="00D37EE5"/>
    <w:rsid w:val="00D94AB4"/>
    <w:rsid w:val="00DA4D9C"/>
    <w:rsid w:val="00DC2326"/>
    <w:rsid w:val="00DD03D2"/>
    <w:rsid w:val="00E24597"/>
    <w:rsid w:val="00E27785"/>
    <w:rsid w:val="00E3029F"/>
    <w:rsid w:val="00E31E1B"/>
    <w:rsid w:val="00E357F9"/>
    <w:rsid w:val="00E61461"/>
    <w:rsid w:val="00E812D6"/>
    <w:rsid w:val="00EA6406"/>
    <w:rsid w:val="00EB6A97"/>
    <w:rsid w:val="00EC0460"/>
    <w:rsid w:val="00EE060C"/>
    <w:rsid w:val="00EF0F1A"/>
    <w:rsid w:val="00EF1B61"/>
    <w:rsid w:val="00EF2B6B"/>
    <w:rsid w:val="00F04038"/>
    <w:rsid w:val="00F04D43"/>
    <w:rsid w:val="00F73090"/>
    <w:rsid w:val="00F81C9E"/>
    <w:rsid w:val="00F94626"/>
    <w:rsid w:val="00FC49E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sk-SK"/>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sk-SK"/>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0216">
      <w:bodyDiv w:val="1"/>
      <w:marLeft w:val="0"/>
      <w:marRight w:val="0"/>
      <w:marTop w:val="0"/>
      <w:marBottom w:val="0"/>
      <w:divBdr>
        <w:top w:val="none" w:sz="0" w:space="0" w:color="auto"/>
        <w:left w:val="none" w:sz="0" w:space="0" w:color="auto"/>
        <w:bottom w:val="none" w:sz="0" w:space="0" w:color="auto"/>
        <w:right w:val="none" w:sz="0" w:space="0" w:color="auto"/>
      </w:divBdr>
    </w:div>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329715709">
      <w:bodyDiv w:val="1"/>
      <w:marLeft w:val="0"/>
      <w:marRight w:val="0"/>
      <w:marTop w:val="0"/>
      <w:marBottom w:val="0"/>
      <w:divBdr>
        <w:top w:val="none" w:sz="0" w:space="0" w:color="auto"/>
        <w:left w:val="none" w:sz="0" w:space="0" w:color="auto"/>
        <w:bottom w:val="none" w:sz="0" w:space="0" w:color="auto"/>
        <w:right w:val="none" w:sz="0" w:space="0" w:color="auto"/>
      </w:divBdr>
    </w:div>
    <w:div w:id="442072582">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624123721">
      <w:bodyDiv w:val="1"/>
      <w:marLeft w:val="0"/>
      <w:marRight w:val="0"/>
      <w:marTop w:val="0"/>
      <w:marBottom w:val="0"/>
      <w:divBdr>
        <w:top w:val="none" w:sz="0" w:space="0" w:color="auto"/>
        <w:left w:val="none" w:sz="0" w:space="0" w:color="auto"/>
        <w:bottom w:val="none" w:sz="0" w:space="0" w:color="auto"/>
        <w:right w:val="none" w:sz="0" w:space="0" w:color="auto"/>
      </w:divBdr>
    </w:div>
    <w:div w:id="768697771">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57423543">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109424">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90411430">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0319267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3458301">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693797526">
      <w:bodyDiv w:val="1"/>
      <w:marLeft w:val="0"/>
      <w:marRight w:val="0"/>
      <w:marTop w:val="0"/>
      <w:marBottom w:val="0"/>
      <w:divBdr>
        <w:top w:val="none" w:sz="0" w:space="0" w:color="auto"/>
        <w:left w:val="none" w:sz="0" w:space="0" w:color="auto"/>
        <w:bottom w:val="none" w:sz="0" w:space="0" w:color="auto"/>
        <w:right w:val="none" w:sz="0" w:space="0" w:color="auto"/>
      </w:divBdr>
    </w:div>
    <w:div w:id="1784958064">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21327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C16C-28A1-415F-9649-25476671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3671</Words>
  <Characters>11271</Characters>
  <Application>Microsoft Office Word</Application>
  <DocSecurity>0</DocSecurity>
  <Lines>450</Lines>
  <Paragraphs>257</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Jan Nvota</cp:lastModifiedBy>
  <cp:revision>2</cp:revision>
  <cp:lastPrinted>2025-02-10T08:45:00Z</cp:lastPrinted>
  <dcterms:created xsi:type="dcterms:W3CDTF">2026-03-03T17:07:00Z</dcterms:created>
  <dcterms:modified xsi:type="dcterms:W3CDTF">2026-03-03T17:07:00Z</dcterms:modified>
</cp:coreProperties>
</file>