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92" w:rsidRDefault="0066489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297" w:type="dxa"/>
        <w:tblInd w:w="108" w:type="dxa"/>
        <w:tblLayout w:type="fixed"/>
        <w:tblLook w:val="0400" w:firstRow="0" w:lastRow="0" w:firstColumn="0" w:lastColumn="0" w:noHBand="0" w:noVBand="1"/>
      </w:tblPr>
      <w:tblGrid>
        <w:gridCol w:w="2552"/>
        <w:gridCol w:w="4360"/>
        <w:gridCol w:w="2385"/>
      </w:tblGrid>
      <w:tr w:rsidR="00664892" w:rsidTr="00C53EB0">
        <w:trPr>
          <w:trHeight w:val="1975"/>
        </w:trPr>
        <w:tc>
          <w:tcPr>
            <w:tcW w:w="2552" w:type="dxa"/>
          </w:tcPr>
          <w:p w:rsidR="00664892" w:rsidRDefault="00CA2FD3">
            <w:pPr>
              <w:tabs>
                <w:tab w:val="center" w:pos="4703"/>
                <w:tab w:val="right" w:pos="9406"/>
              </w:tabs>
              <w:ind w:left="-198" w:firstLine="108"/>
              <w:rPr>
                <w:rFonts w:ascii="Calibri" w:eastAsia="Calibri" w:hAnsi="Calibri" w:cs="Calibri"/>
                <w:sz w:val="22"/>
                <w:szCs w:val="22"/>
              </w:rPr>
            </w:pPr>
            <w:r>
              <w:rPr>
                <w:rFonts w:ascii="Calibri" w:hAnsi="Calibri"/>
                <w:noProof/>
                <w:sz w:val="22"/>
                <w:szCs w:val="22"/>
                <w:lang w:val="en-US"/>
              </w:rPr>
              <w:drawing>
                <wp:inline distT="0" distB="0" distL="0" distR="0">
                  <wp:extent cx="1485900" cy="962025"/>
                  <wp:effectExtent l="0" t="0" r="0" b="0"/>
                  <wp:docPr id="1" name="image1.png" descr="ГРБОВИ ЗА МЕМОРАНДУМ"/>
                  <wp:cNvGraphicFramePr/>
                  <a:graphic xmlns:a="http://schemas.openxmlformats.org/drawingml/2006/main">
                    <a:graphicData uri="http://schemas.openxmlformats.org/drawingml/2006/picture">
                      <pic:pic xmlns:pic="http://schemas.openxmlformats.org/drawingml/2006/picture">
                        <pic:nvPicPr>
                          <pic:cNvPr id="0" name="image1.png" descr="ГРБОВИ ЗА МЕМОРАНДУМ"/>
                          <pic:cNvPicPr preferRelativeResize="0"/>
                        </pic:nvPicPr>
                        <pic:blipFill>
                          <a:blip r:embed="rId6"/>
                          <a:srcRect/>
                          <a:stretch>
                            <a:fillRect/>
                          </a:stretch>
                        </pic:blipFill>
                        <pic:spPr>
                          <a:xfrm>
                            <a:off x="0" y="0"/>
                            <a:ext cx="1485900" cy="962025"/>
                          </a:xfrm>
                          <a:prstGeom prst="rect">
                            <a:avLst/>
                          </a:prstGeom>
                          <a:ln/>
                        </pic:spPr>
                      </pic:pic>
                    </a:graphicData>
                  </a:graphic>
                </wp:inline>
              </w:drawing>
            </w:r>
          </w:p>
        </w:tc>
        <w:tc>
          <w:tcPr>
            <w:tcW w:w="6745" w:type="dxa"/>
            <w:gridSpan w:val="2"/>
          </w:tcPr>
          <w:p w:rsidR="00664892" w:rsidRDefault="00CA2FD3">
            <w:pPr>
              <w:tabs>
                <w:tab w:val="center" w:pos="4703"/>
                <w:tab w:val="right" w:pos="9406"/>
              </w:tabs>
              <w:rPr>
                <w:rFonts w:ascii="Calibri" w:eastAsia="Calibri" w:hAnsi="Calibri" w:cs="Calibri"/>
                <w:sz w:val="20"/>
                <w:szCs w:val="20"/>
              </w:rPr>
            </w:pPr>
            <w:r>
              <w:rPr>
                <w:rFonts w:ascii="Calibri" w:hAnsi="Calibri"/>
                <w:sz w:val="20"/>
                <w:szCs w:val="20"/>
              </w:rPr>
              <w:t>Srbská republika</w:t>
            </w:r>
          </w:p>
          <w:p w:rsidR="00664892" w:rsidRDefault="00CA2FD3">
            <w:pPr>
              <w:rPr>
                <w:rFonts w:ascii="Calibri" w:eastAsia="Calibri" w:hAnsi="Calibri" w:cs="Calibri"/>
                <w:sz w:val="20"/>
                <w:szCs w:val="20"/>
              </w:rPr>
            </w:pPr>
            <w:r>
              <w:rPr>
                <w:rFonts w:ascii="Calibri" w:hAnsi="Calibri"/>
                <w:sz w:val="20"/>
                <w:szCs w:val="20"/>
              </w:rPr>
              <w:t xml:space="preserve">Autonómna </w:t>
            </w:r>
            <w:proofErr w:type="spellStart"/>
            <w:r>
              <w:rPr>
                <w:rFonts w:ascii="Calibri" w:hAnsi="Calibri"/>
                <w:sz w:val="20"/>
                <w:szCs w:val="20"/>
              </w:rPr>
              <w:t>pokrajina</w:t>
            </w:r>
            <w:proofErr w:type="spellEnd"/>
            <w:r>
              <w:rPr>
                <w:rFonts w:ascii="Calibri" w:hAnsi="Calibri"/>
                <w:sz w:val="20"/>
                <w:szCs w:val="20"/>
              </w:rPr>
              <w:t xml:space="preserve"> Vojvodina</w:t>
            </w:r>
          </w:p>
          <w:p w:rsidR="00664892" w:rsidRDefault="00CA2FD3">
            <w:pPr>
              <w:rPr>
                <w:rFonts w:ascii="Calibri" w:eastAsia="Calibri" w:hAnsi="Calibri" w:cs="Calibri"/>
                <w:b/>
                <w:sz w:val="20"/>
                <w:szCs w:val="20"/>
              </w:rPr>
            </w:pPr>
            <w:proofErr w:type="spellStart"/>
            <w:r>
              <w:rPr>
                <w:rFonts w:ascii="Calibri" w:hAnsi="Calibri"/>
                <w:b/>
                <w:sz w:val="20"/>
                <w:szCs w:val="20"/>
              </w:rPr>
              <w:t>Pokrajinský</w:t>
            </w:r>
            <w:proofErr w:type="spellEnd"/>
            <w:r>
              <w:rPr>
                <w:rFonts w:ascii="Calibri" w:hAnsi="Calibri"/>
                <w:b/>
                <w:sz w:val="20"/>
                <w:szCs w:val="20"/>
              </w:rPr>
              <w:t xml:space="preserve"> sekretariát vzdelávania, predpisov, správy a národnostných menšín – národnostných spoločenstiev</w:t>
            </w:r>
          </w:p>
          <w:p w:rsidR="00664892" w:rsidRPr="00CA2FD3" w:rsidRDefault="00CA2FD3">
            <w:pPr>
              <w:tabs>
                <w:tab w:val="center" w:pos="4703"/>
                <w:tab w:val="right" w:pos="9406"/>
              </w:tabs>
              <w:rPr>
                <w:rFonts w:ascii="Calibri" w:eastAsia="Calibri" w:hAnsi="Calibri" w:cs="Calibri"/>
                <w:sz w:val="18"/>
                <w:szCs w:val="20"/>
              </w:rPr>
            </w:pPr>
            <w:r>
              <w:rPr>
                <w:rFonts w:ascii="Calibri" w:hAnsi="Calibri"/>
                <w:sz w:val="18"/>
                <w:szCs w:val="20"/>
              </w:rPr>
              <w:t xml:space="preserve">Bulvár </w:t>
            </w:r>
            <w:proofErr w:type="spellStart"/>
            <w:r>
              <w:rPr>
                <w:rFonts w:ascii="Calibri" w:hAnsi="Calibri"/>
                <w:sz w:val="18"/>
                <w:szCs w:val="20"/>
              </w:rPr>
              <w:t>Mihajla</w:t>
            </w:r>
            <w:proofErr w:type="spellEnd"/>
            <w:r>
              <w:rPr>
                <w:rFonts w:ascii="Calibri" w:hAnsi="Calibri"/>
                <w:sz w:val="18"/>
                <w:szCs w:val="20"/>
              </w:rPr>
              <w:t xml:space="preserve"> </w:t>
            </w:r>
            <w:proofErr w:type="spellStart"/>
            <w:r>
              <w:rPr>
                <w:rFonts w:ascii="Calibri" w:hAnsi="Calibri"/>
                <w:sz w:val="18"/>
                <w:szCs w:val="20"/>
              </w:rPr>
              <w:t>Pupina</w:t>
            </w:r>
            <w:proofErr w:type="spellEnd"/>
            <w:r>
              <w:rPr>
                <w:rFonts w:ascii="Calibri" w:hAnsi="Calibri"/>
                <w:sz w:val="18"/>
                <w:szCs w:val="20"/>
              </w:rPr>
              <w:t xml:space="preserve"> 16, 21 000 Nový Sad</w:t>
            </w:r>
          </w:p>
          <w:p w:rsidR="00664892" w:rsidRPr="00CA2FD3" w:rsidRDefault="00CA2FD3" w:rsidP="004004E9">
            <w:pPr>
              <w:rPr>
                <w:rFonts w:ascii="Calibri" w:eastAsia="Calibri" w:hAnsi="Calibri" w:cs="Calibri"/>
                <w:sz w:val="18"/>
                <w:szCs w:val="20"/>
              </w:rPr>
            </w:pPr>
            <w:r>
              <w:rPr>
                <w:rFonts w:ascii="Calibri" w:hAnsi="Calibri"/>
                <w:sz w:val="18"/>
                <w:szCs w:val="20"/>
              </w:rPr>
              <w:t>T: +381 21 487 4876</w:t>
            </w:r>
          </w:p>
          <w:p w:rsidR="008064FF" w:rsidRDefault="0065443E">
            <w:pPr>
              <w:spacing w:after="200"/>
              <w:rPr>
                <w:rFonts w:ascii="Calibri" w:eastAsia="Calibri" w:hAnsi="Calibri" w:cs="Calibri"/>
                <w:sz w:val="18"/>
                <w:szCs w:val="20"/>
              </w:rPr>
            </w:pPr>
            <w:hyperlink r:id="rId7" w:history="1">
              <w:r w:rsidR="0096251C">
                <w:rPr>
                  <w:rStyle w:val="Hyperlink"/>
                  <w:rFonts w:ascii="Calibri" w:hAnsi="Calibri"/>
                  <w:sz w:val="18"/>
                  <w:szCs w:val="20"/>
                </w:rPr>
                <w:t>Ounz@vojvodinа.gov.rs</w:t>
              </w:r>
            </w:hyperlink>
          </w:p>
          <w:p w:rsidR="008064FF" w:rsidRPr="008064FF" w:rsidRDefault="0065443E">
            <w:pPr>
              <w:spacing w:after="200"/>
              <w:rPr>
                <w:rFonts w:ascii="Calibri" w:eastAsia="Calibri" w:hAnsi="Calibri" w:cs="Calibri"/>
                <w:sz w:val="18"/>
                <w:szCs w:val="20"/>
              </w:rPr>
            </w:pPr>
            <w:hyperlink r:id="rId8" w:history="1">
              <w:r w:rsidR="00C53EB0">
                <w:rPr>
                  <w:rStyle w:val="Hyperlink"/>
                  <w:rFonts w:ascii="Calibri" w:hAnsi="Calibri"/>
                  <w:sz w:val="18"/>
                  <w:szCs w:val="20"/>
                </w:rPr>
                <w:t>merlida.konstantinovic@vojvodina.gov.rs</w:t>
              </w:r>
            </w:hyperlink>
            <w:r w:rsidR="00C53EB0">
              <w:rPr>
                <w:rFonts w:ascii="Calibri" w:hAnsi="Calibri"/>
                <w:sz w:val="18"/>
                <w:szCs w:val="20"/>
              </w:rPr>
              <w:t xml:space="preserve"> </w:t>
            </w:r>
          </w:p>
        </w:tc>
      </w:tr>
      <w:tr w:rsidR="00664892" w:rsidRPr="00621288" w:rsidTr="00C53EB0">
        <w:trPr>
          <w:trHeight w:val="305"/>
        </w:trPr>
        <w:tc>
          <w:tcPr>
            <w:tcW w:w="2552" w:type="dxa"/>
          </w:tcPr>
          <w:p w:rsidR="00664892" w:rsidRPr="00621288" w:rsidRDefault="00664892">
            <w:pPr>
              <w:tabs>
                <w:tab w:val="center" w:pos="4703"/>
                <w:tab w:val="right" w:pos="9406"/>
              </w:tabs>
              <w:ind w:left="-198" w:firstLine="108"/>
              <w:rPr>
                <w:rFonts w:ascii="Calibri" w:eastAsia="Calibri" w:hAnsi="Calibri" w:cs="Calibri"/>
                <w:sz w:val="18"/>
                <w:szCs w:val="18"/>
              </w:rPr>
            </w:pPr>
          </w:p>
        </w:tc>
        <w:tc>
          <w:tcPr>
            <w:tcW w:w="4360" w:type="dxa"/>
          </w:tcPr>
          <w:p w:rsidR="00664892" w:rsidRPr="005079AC" w:rsidRDefault="00CA2FD3" w:rsidP="005079AC">
            <w:pPr>
              <w:tabs>
                <w:tab w:val="center" w:pos="4703"/>
                <w:tab w:val="right" w:pos="9406"/>
              </w:tabs>
              <w:rPr>
                <w:rFonts w:ascii="Calibri" w:eastAsia="Calibri" w:hAnsi="Calibri" w:cs="Calibri"/>
                <w:sz w:val="18"/>
                <w:szCs w:val="18"/>
              </w:rPr>
            </w:pPr>
            <w:r>
              <w:rPr>
                <w:rFonts w:ascii="Calibri" w:hAnsi="Calibri"/>
                <w:sz w:val="18"/>
                <w:szCs w:val="18"/>
              </w:rPr>
              <w:t>ČÍSLO:</w:t>
            </w:r>
            <w:r>
              <w:t xml:space="preserve"> </w:t>
            </w:r>
            <w:r>
              <w:rPr>
                <w:rFonts w:ascii="Calibri" w:hAnsi="Calibri"/>
                <w:sz w:val="18"/>
                <w:szCs w:val="18"/>
              </w:rPr>
              <w:t>000821406 2026 09427 001 002 000 001 04 002</w:t>
            </w:r>
          </w:p>
        </w:tc>
        <w:tc>
          <w:tcPr>
            <w:tcW w:w="2381" w:type="dxa"/>
          </w:tcPr>
          <w:p w:rsidR="00664892" w:rsidRPr="00621288" w:rsidRDefault="00CA2FD3" w:rsidP="00703587">
            <w:pPr>
              <w:tabs>
                <w:tab w:val="center" w:pos="4703"/>
                <w:tab w:val="right" w:pos="9406"/>
              </w:tabs>
              <w:rPr>
                <w:rFonts w:ascii="Calibri" w:eastAsia="Calibri" w:hAnsi="Calibri" w:cs="Calibri"/>
                <w:sz w:val="18"/>
                <w:szCs w:val="18"/>
              </w:rPr>
            </w:pPr>
            <w:r>
              <w:rPr>
                <w:rFonts w:ascii="Calibri" w:hAnsi="Calibri"/>
                <w:sz w:val="18"/>
                <w:szCs w:val="18"/>
              </w:rPr>
              <w:t>DÁTUM: 4. 3. 2026</w:t>
            </w:r>
          </w:p>
        </w:tc>
      </w:tr>
    </w:tbl>
    <w:p w:rsidR="00664892" w:rsidRDefault="00664892">
      <w:pPr>
        <w:rPr>
          <w:rFonts w:ascii="Calibri" w:eastAsia="Calibri" w:hAnsi="Calibri" w:cs="Calibri"/>
          <w:sz w:val="22"/>
          <w:szCs w:val="22"/>
        </w:rPr>
      </w:pPr>
    </w:p>
    <w:p w:rsidR="000C4ECD" w:rsidRPr="000C4ECD" w:rsidRDefault="000C4ECD" w:rsidP="0055552E">
      <w:pPr>
        <w:jc w:val="both"/>
        <w:rPr>
          <w:rFonts w:ascii="Calibri" w:hAnsi="Calibri" w:cs="Calibri"/>
          <w:sz w:val="20"/>
        </w:rPr>
      </w:pPr>
      <w:r>
        <w:rPr>
          <w:rFonts w:ascii="Calibri" w:hAnsi="Calibri"/>
          <w:sz w:val="20"/>
        </w:rPr>
        <w:t xml:space="preserve">Podľa 5 </w:t>
      </w:r>
      <w:proofErr w:type="spellStart"/>
      <w:r>
        <w:rPr>
          <w:rFonts w:ascii="Calibri" w:hAnsi="Calibri"/>
          <w:sz w:val="20"/>
        </w:rPr>
        <w:t>Pokrajinského</w:t>
      </w:r>
      <w:proofErr w:type="spellEnd"/>
      <w:r>
        <w:rPr>
          <w:rFonts w:ascii="Calibri" w:hAnsi="Calibri"/>
          <w:sz w:val="20"/>
        </w:rPr>
        <w:t xml:space="preserve"> parlamentného uznesenia o prideľovaní rozpočtových prostriedkov na financovanie a spolufinancovanie programových aktivít a projektov v oblasti základného a stredného vzdelávania a výchovy a žiackeho štandardu v Autonómnej </w:t>
      </w:r>
      <w:proofErr w:type="spellStart"/>
      <w:r>
        <w:rPr>
          <w:rFonts w:ascii="Calibri" w:hAnsi="Calibri"/>
          <w:sz w:val="20"/>
        </w:rPr>
        <w:t>pokrajine</w:t>
      </w:r>
      <w:proofErr w:type="spellEnd"/>
      <w:r>
        <w:rPr>
          <w:rFonts w:ascii="Calibri" w:hAnsi="Calibri"/>
          <w:sz w:val="20"/>
        </w:rPr>
        <w:t xml:space="preserve"> Vojvodine (Úradný vestník APV č. 14/15 a 10/17), článku 24 odsek 2 </w:t>
      </w:r>
      <w:proofErr w:type="spellStart"/>
      <w:r>
        <w:rPr>
          <w:rFonts w:ascii="Calibri" w:hAnsi="Calibri"/>
          <w:sz w:val="20"/>
        </w:rPr>
        <w:t>Pokrajinského</w:t>
      </w:r>
      <w:proofErr w:type="spellEnd"/>
      <w:r>
        <w:rPr>
          <w:rFonts w:ascii="Calibri" w:hAnsi="Calibri"/>
          <w:sz w:val="20"/>
        </w:rPr>
        <w:t xml:space="preserve"> parlamentného uznesenia o </w:t>
      </w:r>
      <w:proofErr w:type="spellStart"/>
      <w:r>
        <w:rPr>
          <w:rFonts w:ascii="Calibri" w:hAnsi="Calibri"/>
          <w:sz w:val="20"/>
        </w:rPr>
        <w:t>pokrajinskej</w:t>
      </w:r>
      <w:proofErr w:type="spellEnd"/>
      <w:r>
        <w:rPr>
          <w:rFonts w:ascii="Calibri" w:hAnsi="Calibri"/>
          <w:sz w:val="20"/>
        </w:rPr>
        <w:t xml:space="preserve"> správe (Úradný vestník AP Vojvodiny č. 37/2014, 54/2014 – i. uznesenie, 37/16, 29/17, 24/19, 66/20, 38/2021, 22/25) a článku 3 Pravidiel pridelenia rozpočtových prostriedkov </w:t>
      </w:r>
      <w:proofErr w:type="spellStart"/>
      <w:r>
        <w:rPr>
          <w:rFonts w:ascii="Calibri" w:hAnsi="Calibri"/>
          <w:sz w:val="20"/>
        </w:rPr>
        <w:t>Pokrajinského</w:t>
      </w:r>
      <w:proofErr w:type="spellEnd"/>
      <w:r>
        <w:rPr>
          <w:rFonts w:ascii="Calibri" w:hAnsi="Calibri"/>
          <w:sz w:val="20"/>
        </w:rPr>
        <w:t xml:space="preserve"> sekretariátu vzdelávania, predpisov, správy a národnostných menšín</w:t>
      </w:r>
      <w:r w:rsidR="00D63ACA">
        <w:rPr>
          <w:rFonts w:ascii="Calibri" w:hAnsi="Calibri"/>
          <w:sz w:val="20"/>
        </w:rPr>
        <w:t xml:space="preserve"> –</w:t>
      </w:r>
      <w:r>
        <w:rPr>
          <w:rFonts w:ascii="Calibri" w:hAnsi="Calibri"/>
          <w:sz w:val="20"/>
        </w:rPr>
        <w:t xml:space="preserve"> národnostných spoločenstiev na financovanie a spolufinancovanie programov a projektov v oblasti základnej a stredoškolskej výchovy a vzdelávania v Autonómnej </w:t>
      </w:r>
      <w:proofErr w:type="spellStart"/>
      <w:r>
        <w:rPr>
          <w:rFonts w:ascii="Calibri" w:hAnsi="Calibri"/>
          <w:sz w:val="20"/>
        </w:rPr>
        <w:t>pokrajine</w:t>
      </w:r>
      <w:proofErr w:type="spellEnd"/>
      <w:r>
        <w:rPr>
          <w:rFonts w:ascii="Calibri" w:hAnsi="Calibri"/>
          <w:sz w:val="20"/>
        </w:rPr>
        <w:t xml:space="preserve"> Vojvodine na rok 2026</w:t>
      </w:r>
      <w:r w:rsidR="00D63ACA">
        <w:rPr>
          <w:rFonts w:ascii="Calibri" w:hAnsi="Calibri"/>
          <w:sz w:val="20"/>
        </w:rPr>
        <w:t xml:space="preserve"> </w:t>
      </w:r>
      <w:r>
        <w:rPr>
          <w:rFonts w:ascii="Calibri" w:hAnsi="Calibri"/>
          <w:sz w:val="20"/>
        </w:rPr>
        <w:t>(číslo: 000783473 2026 09427 001 001 000 001 z 27.</w:t>
      </w:r>
      <w:r w:rsidR="00D63ACA">
        <w:rPr>
          <w:rFonts w:ascii="Calibri" w:hAnsi="Calibri"/>
          <w:sz w:val="20"/>
        </w:rPr>
        <w:t xml:space="preserve"> </w:t>
      </w:r>
      <w:r>
        <w:rPr>
          <w:rFonts w:ascii="Calibri" w:hAnsi="Calibri"/>
          <w:sz w:val="20"/>
        </w:rPr>
        <w:t>02.</w:t>
      </w:r>
      <w:r w:rsidR="00D63ACA">
        <w:rPr>
          <w:rFonts w:ascii="Calibri" w:hAnsi="Calibri"/>
          <w:sz w:val="20"/>
        </w:rPr>
        <w:t xml:space="preserve"> </w:t>
      </w:r>
      <w:r>
        <w:rPr>
          <w:rFonts w:ascii="Calibri" w:hAnsi="Calibri"/>
          <w:sz w:val="20"/>
        </w:rPr>
        <w:t>2026</w:t>
      </w:r>
      <w:r w:rsidR="00D63ACA">
        <w:rPr>
          <w:rFonts w:ascii="Calibri" w:hAnsi="Calibri"/>
          <w:sz w:val="20"/>
        </w:rPr>
        <w:t>)</w:t>
      </w:r>
      <w:r>
        <w:rPr>
          <w:rFonts w:ascii="Calibri" w:hAnsi="Calibri"/>
          <w:sz w:val="20"/>
        </w:rPr>
        <w:t xml:space="preserve"> </w:t>
      </w:r>
      <w:proofErr w:type="spellStart"/>
      <w:r>
        <w:rPr>
          <w:rFonts w:ascii="Calibri" w:hAnsi="Calibri"/>
          <w:sz w:val="20"/>
        </w:rPr>
        <w:t>pokrajinský</w:t>
      </w:r>
      <w:proofErr w:type="spellEnd"/>
      <w:r>
        <w:rPr>
          <w:rFonts w:ascii="Calibri" w:hAnsi="Calibri"/>
          <w:sz w:val="20"/>
        </w:rPr>
        <w:t xml:space="preserve"> tajomník vzdelávania, predpisov, správy a národnostných menšín</w:t>
      </w:r>
      <w:r w:rsidR="00D63ACA">
        <w:rPr>
          <w:rFonts w:ascii="Calibri" w:hAnsi="Calibri"/>
          <w:sz w:val="20"/>
        </w:rPr>
        <w:t xml:space="preserve"> </w:t>
      </w:r>
      <w:r>
        <w:rPr>
          <w:rFonts w:ascii="Calibri" w:hAnsi="Calibri"/>
          <w:sz w:val="20"/>
        </w:rPr>
        <w:t xml:space="preserve">‒ národnostných spoločenstiev vypisuje: </w:t>
      </w:r>
    </w:p>
    <w:p w:rsidR="00664892" w:rsidRDefault="00664892">
      <w:pPr>
        <w:pBdr>
          <w:top w:val="nil"/>
          <w:left w:val="nil"/>
          <w:bottom w:val="nil"/>
          <w:right w:val="nil"/>
          <w:between w:val="nil"/>
        </w:pBdr>
        <w:jc w:val="center"/>
        <w:rPr>
          <w:rFonts w:ascii="Calibri" w:eastAsia="Calibri" w:hAnsi="Calibri" w:cs="Calibri"/>
          <w:b/>
          <w:color w:val="000000"/>
          <w:sz w:val="20"/>
          <w:szCs w:val="20"/>
        </w:rPr>
      </w:pPr>
    </w:p>
    <w:p w:rsidR="00664892" w:rsidRDefault="00CA2FD3">
      <w:pPr>
        <w:pBdr>
          <w:top w:val="nil"/>
          <w:left w:val="nil"/>
          <w:bottom w:val="nil"/>
          <w:right w:val="nil"/>
          <w:between w:val="nil"/>
        </w:pBdr>
        <w:jc w:val="center"/>
        <w:rPr>
          <w:rFonts w:ascii="Calibri" w:eastAsia="Calibri" w:hAnsi="Calibri" w:cs="Calibri"/>
          <w:b/>
          <w:color w:val="000000"/>
          <w:sz w:val="20"/>
          <w:szCs w:val="20"/>
        </w:rPr>
      </w:pPr>
      <w:bookmarkStart w:id="0" w:name="_gjdgxs"/>
      <w:bookmarkEnd w:id="0"/>
      <w:r>
        <w:rPr>
          <w:rFonts w:ascii="Calibri" w:hAnsi="Calibri"/>
          <w:b/>
          <w:color w:val="000000"/>
          <w:sz w:val="20"/>
          <w:szCs w:val="20"/>
        </w:rPr>
        <w:t xml:space="preserve">SÚBEH  </w:t>
      </w:r>
    </w:p>
    <w:p w:rsidR="000A672D" w:rsidRDefault="00E67D26" w:rsidP="0055552E">
      <w:pPr>
        <w:pBdr>
          <w:top w:val="nil"/>
          <w:left w:val="nil"/>
          <w:bottom w:val="nil"/>
          <w:right w:val="nil"/>
          <w:between w:val="nil"/>
        </w:pBdr>
        <w:jc w:val="center"/>
        <w:rPr>
          <w:rFonts w:ascii="Calibri" w:eastAsia="Calibri" w:hAnsi="Calibri" w:cs="Calibri"/>
          <w:sz w:val="20"/>
          <w:szCs w:val="20"/>
        </w:rPr>
      </w:pPr>
      <w:r>
        <w:rPr>
          <w:rFonts w:ascii="Calibri" w:hAnsi="Calibri"/>
          <w:b/>
          <w:color w:val="000000"/>
          <w:sz w:val="20"/>
          <w:szCs w:val="20"/>
        </w:rPr>
        <w:t>NA FINANCOVANIE A SPOLUFINANCOVANIE PROGRAMOV A PROJEKTOV, KTORÉ REALIZUJÚ ZDRUŽENIA V OBLASTI ZÁKLADNÉHO A STREDNÉHO VZDELÁVANIA A VÝCHOVY V AUTONÓMNEJ P</w:t>
      </w:r>
      <w:r w:rsidR="003F32D3">
        <w:rPr>
          <w:rFonts w:ascii="Calibri" w:hAnsi="Calibri"/>
          <w:b/>
          <w:color w:val="000000"/>
          <w:sz w:val="20"/>
          <w:szCs w:val="20"/>
        </w:rPr>
        <w:t>OKRAJINE VOJVODINE NA ROK 2026</w:t>
      </w:r>
    </w:p>
    <w:p w:rsidR="00664892" w:rsidRDefault="00CA2FD3" w:rsidP="0055552E">
      <w:pPr>
        <w:pBdr>
          <w:top w:val="nil"/>
          <w:left w:val="nil"/>
          <w:bottom w:val="nil"/>
          <w:right w:val="nil"/>
          <w:between w:val="nil"/>
        </w:pBdr>
        <w:jc w:val="center"/>
        <w:rPr>
          <w:rFonts w:ascii="Calibri" w:eastAsia="Calibri" w:hAnsi="Calibri" w:cs="Calibri"/>
          <w:b/>
          <w:sz w:val="20"/>
          <w:szCs w:val="20"/>
        </w:rPr>
      </w:pPr>
      <w:r>
        <w:rPr>
          <w:rFonts w:ascii="Calibri" w:hAnsi="Calibri"/>
          <w:sz w:val="20"/>
          <w:szCs w:val="20"/>
        </w:rPr>
        <w:t xml:space="preserve">                                                        </w:t>
      </w:r>
    </w:p>
    <w:p w:rsidR="0055552E" w:rsidRPr="0055552E" w:rsidRDefault="0055552E" w:rsidP="0055552E">
      <w:pPr>
        <w:spacing w:after="60"/>
        <w:ind w:firstLine="567"/>
        <w:jc w:val="both"/>
        <w:rPr>
          <w:rFonts w:ascii="Calibri" w:hAnsi="Calibri" w:cs="Arial"/>
          <w:b/>
          <w:sz w:val="20"/>
          <w:szCs w:val="20"/>
        </w:rPr>
      </w:pPr>
      <w:r>
        <w:rPr>
          <w:rFonts w:ascii="Calibri" w:hAnsi="Calibri"/>
          <w:sz w:val="20"/>
          <w:szCs w:val="20"/>
        </w:rPr>
        <w:t xml:space="preserve">Prostriedky zabezpečené </w:t>
      </w:r>
      <w:proofErr w:type="spellStart"/>
      <w:r>
        <w:rPr>
          <w:rFonts w:ascii="Calibri" w:hAnsi="Calibri"/>
          <w:sz w:val="20"/>
          <w:szCs w:val="20"/>
        </w:rPr>
        <w:t>Pokrajinským</w:t>
      </w:r>
      <w:proofErr w:type="spellEnd"/>
      <w:r>
        <w:rPr>
          <w:rFonts w:ascii="Calibri" w:hAnsi="Calibri"/>
          <w:sz w:val="20"/>
          <w:szCs w:val="20"/>
        </w:rPr>
        <w:t xml:space="preserve"> parlamentným uznesením o rozpočte Autonómnej </w:t>
      </w:r>
      <w:proofErr w:type="spellStart"/>
      <w:r>
        <w:rPr>
          <w:rFonts w:ascii="Calibri" w:hAnsi="Calibri"/>
          <w:sz w:val="20"/>
          <w:szCs w:val="20"/>
        </w:rPr>
        <w:t>pokrajiny</w:t>
      </w:r>
      <w:proofErr w:type="spellEnd"/>
      <w:r>
        <w:rPr>
          <w:rFonts w:ascii="Calibri" w:hAnsi="Calibri"/>
          <w:sz w:val="20"/>
          <w:szCs w:val="20"/>
        </w:rPr>
        <w:t xml:space="preserve"> Vojvodiny na rok 2026 na financovanie a spolufinancovanie programov a projektov v oblasti základného a stredoškolského vzdelávania v Autonómnej </w:t>
      </w:r>
      <w:proofErr w:type="spellStart"/>
      <w:r>
        <w:rPr>
          <w:rFonts w:ascii="Calibri" w:hAnsi="Calibri"/>
          <w:sz w:val="20"/>
          <w:szCs w:val="20"/>
        </w:rPr>
        <w:t>pokrajine</w:t>
      </w:r>
      <w:proofErr w:type="spellEnd"/>
      <w:r>
        <w:rPr>
          <w:rFonts w:ascii="Calibri" w:hAnsi="Calibri"/>
          <w:sz w:val="20"/>
          <w:szCs w:val="20"/>
        </w:rPr>
        <w:t xml:space="preserve"> Vojvodine (ďalej len: AP Vojvodina), ktoré realizujú združenia v súlade s </w:t>
      </w:r>
      <w:r w:rsidR="00D63ACA">
        <w:rPr>
          <w:rFonts w:ascii="Calibri" w:hAnsi="Calibri"/>
          <w:sz w:val="20"/>
          <w:szCs w:val="20"/>
        </w:rPr>
        <w:t>položkami</w:t>
      </w:r>
      <w:r>
        <w:rPr>
          <w:rFonts w:ascii="Calibri" w:hAnsi="Calibri"/>
          <w:sz w:val="20"/>
          <w:szCs w:val="20"/>
        </w:rPr>
        <w:t xml:space="preserve"> schválenými uznesením o rozpočte Autonómnej </w:t>
      </w:r>
      <w:proofErr w:type="spellStart"/>
      <w:r>
        <w:rPr>
          <w:rFonts w:ascii="Calibri" w:hAnsi="Calibri"/>
          <w:sz w:val="20"/>
          <w:szCs w:val="20"/>
        </w:rPr>
        <w:t>pokrajiny</w:t>
      </w:r>
      <w:proofErr w:type="spellEnd"/>
      <w:r>
        <w:rPr>
          <w:rFonts w:ascii="Calibri" w:hAnsi="Calibri"/>
          <w:sz w:val="20"/>
          <w:szCs w:val="20"/>
        </w:rPr>
        <w:t xml:space="preserve"> Vojvodiny v rámci osobitného oddielu </w:t>
      </w:r>
      <w:proofErr w:type="spellStart"/>
      <w:r>
        <w:rPr>
          <w:rFonts w:ascii="Calibri" w:hAnsi="Calibri"/>
          <w:sz w:val="20"/>
          <w:szCs w:val="20"/>
        </w:rPr>
        <w:t>Pokrajinského</w:t>
      </w:r>
      <w:proofErr w:type="spellEnd"/>
      <w:r>
        <w:rPr>
          <w:rFonts w:ascii="Calibri" w:hAnsi="Calibri"/>
          <w:sz w:val="20"/>
          <w:szCs w:val="20"/>
        </w:rPr>
        <w:t xml:space="preserve"> sekretariátu vzdelávania, predpisov, správy, národnostných menšín – národnostných spoločenstiev (ďalej len: sekretariát) </w:t>
      </w:r>
      <w:r w:rsidRPr="00D63ACA">
        <w:rPr>
          <w:rFonts w:ascii="Calibri" w:hAnsi="Calibri"/>
          <w:b/>
          <w:sz w:val="20"/>
          <w:szCs w:val="20"/>
        </w:rPr>
        <w:t>5 000 000 dinárov.</w:t>
      </w:r>
    </w:p>
    <w:p w:rsidR="00D63ACA" w:rsidRDefault="00D63ACA" w:rsidP="0055552E">
      <w:pPr>
        <w:spacing w:before="120" w:after="120"/>
        <w:ind w:right="181"/>
        <w:jc w:val="center"/>
        <w:outlineLvl w:val="0"/>
        <w:rPr>
          <w:rFonts w:ascii="Calibri" w:hAnsi="Calibri"/>
          <w:b/>
          <w:sz w:val="20"/>
          <w:szCs w:val="20"/>
        </w:rPr>
      </w:pPr>
    </w:p>
    <w:p w:rsidR="0055552E" w:rsidRDefault="0055552E" w:rsidP="0055552E">
      <w:pPr>
        <w:spacing w:before="120" w:after="120"/>
        <w:ind w:right="181"/>
        <w:jc w:val="center"/>
        <w:outlineLvl w:val="0"/>
        <w:rPr>
          <w:rFonts w:ascii="Calibri" w:hAnsi="Calibri"/>
          <w:b/>
          <w:sz w:val="20"/>
          <w:szCs w:val="20"/>
        </w:rPr>
      </w:pPr>
      <w:r>
        <w:rPr>
          <w:rFonts w:ascii="Calibri" w:hAnsi="Calibri"/>
          <w:b/>
          <w:sz w:val="20"/>
          <w:szCs w:val="20"/>
        </w:rPr>
        <w:t>ROZVRHNUTIE PROSTRIEDKOV</w:t>
      </w:r>
    </w:p>
    <w:p w:rsidR="00D63ACA" w:rsidRPr="0055552E" w:rsidRDefault="00D63ACA" w:rsidP="0055552E">
      <w:pPr>
        <w:spacing w:before="120" w:after="120"/>
        <w:ind w:right="181"/>
        <w:jc w:val="center"/>
        <w:outlineLvl w:val="0"/>
        <w:rPr>
          <w:rFonts w:ascii="Calibri" w:hAnsi="Calibri"/>
          <w:b/>
          <w:sz w:val="20"/>
          <w:szCs w:val="20"/>
        </w:rPr>
      </w:pPr>
    </w:p>
    <w:p w:rsidR="000A672D" w:rsidRPr="00E67D26" w:rsidRDefault="000A672D" w:rsidP="00EC1923">
      <w:pPr>
        <w:ind w:right="180"/>
        <w:contextualSpacing/>
        <w:jc w:val="both"/>
        <w:outlineLvl w:val="0"/>
        <w:rPr>
          <w:rFonts w:ascii="Calibri" w:eastAsia="Calibri" w:hAnsi="Calibri"/>
          <w:b/>
          <w:sz w:val="20"/>
          <w:szCs w:val="20"/>
        </w:rPr>
      </w:pPr>
      <w:r>
        <w:rPr>
          <w:rFonts w:ascii="Calibri" w:hAnsi="Calibri"/>
          <w:b/>
          <w:sz w:val="20"/>
          <w:szCs w:val="20"/>
        </w:rPr>
        <w:t xml:space="preserve">Pre združenia (dobrovoľné a mimovládne neziskové organizácie) so sídlom na území AP Vojvodiny, ktoré si medzi ciele združenia zaradili aktivity v oblasti vzdelávania </w:t>
      </w:r>
    </w:p>
    <w:p w:rsidR="000A672D" w:rsidRPr="000A672D" w:rsidRDefault="000A672D" w:rsidP="000A672D">
      <w:pPr>
        <w:tabs>
          <w:tab w:val="left" w:pos="851"/>
        </w:tabs>
        <w:ind w:left="851" w:right="180" w:hanging="284"/>
        <w:jc w:val="both"/>
        <w:rPr>
          <w:rFonts w:ascii="Calibri" w:hAnsi="Calibri"/>
          <w:b/>
          <w:sz w:val="20"/>
          <w:szCs w:val="20"/>
        </w:rPr>
      </w:pPr>
      <w:r>
        <w:rPr>
          <w:rFonts w:ascii="Calibri" w:hAnsi="Calibri"/>
          <w:sz w:val="20"/>
          <w:szCs w:val="20"/>
        </w:rPr>
        <w:t xml:space="preserve">a) pre programy a projekty základného vzdelávania – </w:t>
      </w:r>
      <w:r>
        <w:rPr>
          <w:rFonts w:ascii="Calibri" w:hAnsi="Calibri"/>
          <w:b/>
          <w:bCs/>
          <w:sz w:val="20"/>
          <w:szCs w:val="20"/>
        </w:rPr>
        <w:t>3 500 000,00 dinárov,</w:t>
      </w:r>
    </w:p>
    <w:p w:rsidR="000A672D" w:rsidRPr="000A672D" w:rsidRDefault="000A672D" w:rsidP="000A672D">
      <w:pPr>
        <w:tabs>
          <w:tab w:val="left" w:pos="851"/>
        </w:tabs>
        <w:ind w:left="851" w:right="180" w:hanging="284"/>
        <w:jc w:val="both"/>
        <w:rPr>
          <w:rFonts w:ascii="Calibri" w:hAnsi="Calibri"/>
          <w:b/>
          <w:sz w:val="20"/>
          <w:szCs w:val="20"/>
        </w:rPr>
      </w:pPr>
      <w:r>
        <w:rPr>
          <w:rFonts w:ascii="Calibri" w:hAnsi="Calibri"/>
          <w:sz w:val="20"/>
          <w:szCs w:val="20"/>
        </w:rPr>
        <w:t xml:space="preserve">b) pre programy a projekty stredného vzdelávania – </w:t>
      </w:r>
      <w:r>
        <w:rPr>
          <w:rFonts w:ascii="Calibri" w:hAnsi="Calibri"/>
          <w:b/>
          <w:bCs/>
          <w:sz w:val="20"/>
          <w:szCs w:val="20"/>
        </w:rPr>
        <w:t>1 500 000,00 dinárov,</w:t>
      </w:r>
    </w:p>
    <w:p w:rsidR="00C53EB0" w:rsidRDefault="00C53EB0" w:rsidP="00E67D26">
      <w:pPr>
        <w:spacing w:before="60" w:after="60"/>
        <w:ind w:right="181" w:firstLine="567"/>
        <w:jc w:val="both"/>
        <w:rPr>
          <w:rFonts w:ascii="Calibri" w:hAnsi="Calibri"/>
          <w:sz w:val="20"/>
          <w:szCs w:val="20"/>
          <w:lang w:val="sr-Cyrl-RS"/>
        </w:rPr>
      </w:pPr>
    </w:p>
    <w:p w:rsidR="00E67D26" w:rsidRPr="00E67D26" w:rsidRDefault="00E67D26" w:rsidP="00E67D26">
      <w:pPr>
        <w:spacing w:before="60" w:after="60"/>
        <w:ind w:right="181" w:firstLine="567"/>
        <w:jc w:val="both"/>
        <w:rPr>
          <w:rFonts w:ascii="Calibri" w:hAnsi="Calibri"/>
          <w:sz w:val="20"/>
          <w:szCs w:val="20"/>
        </w:rPr>
      </w:pPr>
      <w:r>
        <w:rPr>
          <w:rFonts w:ascii="Calibri" w:hAnsi="Calibri"/>
          <w:sz w:val="20"/>
          <w:szCs w:val="20"/>
        </w:rPr>
        <w:t xml:space="preserve">Právo na získanie finančných prostriedkov majú združenia (dobrovoľné a mimovládne neziskové organizácie) so sídlom na území AP Vojvodiny, ktoré si ako jeden z cieľov združenia stanovili aj aktivity v oblasti vzdelávania (ďalej len: príjemcovia) v súlade s Vyhláškou o </w:t>
      </w:r>
      <w:r w:rsidR="00D63ACA">
        <w:rPr>
          <w:rFonts w:ascii="Calibri" w:hAnsi="Calibri"/>
          <w:sz w:val="20"/>
          <w:szCs w:val="20"/>
        </w:rPr>
        <w:t>prostriedkoch</w:t>
      </w:r>
      <w:r>
        <w:rPr>
          <w:rFonts w:ascii="Calibri" w:hAnsi="Calibri"/>
          <w:sz w:val="20"/>
          <w:szCs w:val="20"/>
        </w:rPr>
        <w:t xml:space="preserve"> na </w:t>
      </w:r>
      <w:r w:rsidR="00D63ACA">
        <w:rPr>
          <w:rFonts w:ascii="Calibri" w:hAnsi="Calibri"/>
          <w:sz w:val="20"/>
          <w:szCs w:val="20"/>
        </w:rPr>
        <w:t>podporu programov alebo chýbajúcej</w:t>
      </w:r>
      <w:r>
        <w:rPr>
          <w:rFonts w:ascii="Calibri" w:hAnsi="Calibri"/>
          <w:sz w:val="20"/>
          <w:szCs w:val="20"/>
        </w:rPr>
        <w:t xml:space="preserve"> čas</w:t>
      </w:r>
      <w:r w:rsidR="00D63ACA">
        <w:rPr>
          <w:rFonts w:ascii="Calibri" w:hAnsi="Calibri"/>
          <w:sz w:val="20"/>
          <w:szCs w:val="20"/>
        </w:rPr>
        <w:t>ti</w:t>
      </w:r>
      <w:r>
        <w:rPr>
          <w:rFonts w:ascii="Calibri" w:hAnsi="Calibri"/>
          <w:sz w:val="20"/>
          <w:szCs w:val="20"/>
        </w:rPr>
        <w:t xml:space="preserve"> prostriedkov na financovanie programov verejného záujmu, ktoré  realizujú združenia (vestník </w:t>
      </w:r>
      <w:proofErr w:type="spellStart"/>
      <w:r>
        <w:rPr>
          <w:rFonts w:ascii="Calibri" w:hAnsi="Calibri"/>
          <w:sz w:val="20"/>
          <w:szCs w:val="20"/>
        </w:rPr>
        <w:t>Sl</w:t>
      </w:r>
      <w:proofErr w:type="spellEnd"/>
      <w:r>
        <w:rPr>
          <w:rFonts w:ascii="Calibri" w:hAnsi="Calibri"/>
          <w:sz w:val="20"/>
          <w:szCs w:val="20"/>
        </w:rPr>
        <w:t xml:space="preserve">. </w:t>
      </w:r>
      <w:proofErr w:type="spellStart"/>
      <w:r>
        <w:rPr>
          <w:rFonts w:ascii="Calibri" w:hAnsi="Calibri"/>
          <w:sz w:val="20"/>
          <w:szCs w:val="20"/>
        </w:rPr>
        <w:t>glasnik</w:t>
      </w:r>
      <w:proofErr w:type="spellEnd"/>
      <w:r>
        <w:rPr>
          <w:rFonts w:ascii="Calibri" w:hAnsi="Calibri"/>
          <w:sz w:val="20"/>
          <w:szCs w:val="20"/>
        </w:rPr>
        <w:t xml:space="preserve"> SR č. 16/2018).</w:t>
      </w:r>
    </w:p>
    <w:p w:rsidR="00C53EB0" w:rsidRDefault="00C53EB0" w:rsidP="00E67D26">
      <w:pPr>
        <w:spacing w:before="60" w:after="60"/>
        <w:ind w:right="181" w:firstLine="567"/>
        <w:jc w:val="both"/>
        <w:rPr>
          <w:rFonts w:ascii="Calibri" w:hAnsi="Calibri"/>
          <w:sz w:val="20"/>
          <w:szCs w:val="20"/>
          <w:lang w:val="sr-Cyrl-RS"/>
        </w:rPr>
      </w:pPr>
    </w:p>
    <w:p w:rsidR="00E67D26" w:rsidRPr="00E67D26" w:rsidRDefault="00E67D26" w:rsidP="00E67D26">
      <w:pPr>
        <w:spacing w:before="60" w:after="60"/>
        <w:ind w:right="181" w:firstLine="567"/>
        <w:jc w:val="both"/>
        <w:rPr>
          <w:rFonts w:ascii="Calibri" w:hAnsi="Calibri"/>
          <w:sz w:val="20"/>
          <w:szCs w:val="20"/>
        </w:rPr>
      </w:pPr>
      <w:r>
        <w:rPr>
          <w:rFonts w:ascii="Calibri" w:hAnsi="Calibri"/>
          <w:sz w:val="20"/>
          <w:szCs w:val="20"/>
        </w:rPr>
        <w:t xml:space="preserve">  Pri prideľovaní finančných prostriedkov združeniam sa postupuje v súlade s ustanoveniami Pokynov o povinnosti vymedziť súvislosť medzi stanoveným verejným záujmom a financovaním programov realizovaných združeniami (Úradný vestník APV č. 1/2020).                                                                                                                                         </w:t>
      </w:r>
    </w:p>
    <w:p w:rsidR="00C53EB0" w:rsidRDefault="00E67D26" w:rsidP="0055552E">
      <w:pPr>
        <w:spacing w:before="60" w:after="60"/>
        <w:ind w:right="181" w:firstLine="567"/>
        <w:jc w:val="both"/>
        <w:rPr>
          <w:rFonts w:ascii="Calibri" w:hAnsi="Calibri"/>
          <w:sz w:val="20"/>
          <w:szCs w:val="20"/>
        </w:rPr>
      </w:pPr>
      <w:r>
        <w:rPr>
          <w:rFonts w:ascii="Calibri" w:hAnsi="Calibri"/>
          <w:sz w:val="20"/>
          <w:szCs w:val="20"/>
        </w:rPr>
        <w:t xml:space="preserve"> </w:t>
      </w:r>
    </w:p>
    <w:p w:rsidR="0055552E" w:rsidRPr="0055552E" w:rsidRDefault="0055552E" w:rsidP="0055552E">
      <w:pPr>
        <w:spacing w:before="60" w:after="60"/>
        <w:ind w:right="181" w:firstLine="567"/>
        <w:jc w:val="both"/>
        <w:rPr>
          <w:rFonts w:ascii="Calibri" w:hAnsi="Calibri"/>
          <w:sz w:val="20"/>
          <w:szCs w:val="20"/>
        </w:rPr>
      </w:pPr>
      <w:r>
        <w:rPr>
          <w:rFonts w:ascii="Calibri" w:hAnsi="Calibri"/>
          <w:sz w:val="20"/>
          <w:szCs w:val="20"/>
        </w:rPr>
        <w:t xml:space="preserve">Finančnou podporou, ktorá sa týmto súbehom prezentuje alebo chráni verejný záujem určený ustanoveniami článku 6, 7, 8 a 9. Zákona o základoch systému výchovy a vzdelania (vestník </w:t>
      </w:r>
      <w:proofErr w:type="spellStart"/>
      <w:r>
        <w:rPr>
          <w:rFonts w:ascii="Calibri" w:hAnsi="Calibri"/>
          <w:sz w:val="20"/>
          <w:szCs w:val="20"/>
        </w:rPr>
        <w:t>Službeni</w:t>
      </w:r>
      <w:proofErr w:type="spellEnd"/>
      <w:r>
        <w:rPr>
          <w:rFonts w:ascii="Calibri" w:hAnsi="Calibri"/>
          <w:sz w:val="20"/>
          <w:szCs w:val="20"/>
        </w:rPr>
        <w:t xml:space="preserve"> </w:t>
      </w:r>
      <w:proofErr w:type="spellStart"/>
      <w:r>
        <w:rPr>
          <w:rFonts w:ascii="Calibri" w:hAnsi="Calibri"/>
          <w:sz w:val="20"/>
          <w:szCs w:val="20"/>
        </w:rPr>
        <w:t>glasnik</w:t>
      </w:r>
      <w:proofErr w:type="spellEnd"/>
      <w:r>
        <w:rPr>
          <w:rFonts w:ascii="Calibri" w:hAnsi="Calibri"/>
          <w:sz w:val="20"/>
          <w:szCs w:val="20"/>
        </w:rPr>
        <w:t xml:space="preserve"> RS č. 88/2017, 27/2018 – iné zákony, 10/2019, 6/2020, 129/2021 a 92/2023).</w:t>
      </w:r>
    </w:p>
    <w:p w:rsidR="00621B18" w:rsidRDefault="00621B18" w:rsidP="004C2C6C">
      <w:pPr>
        <w:spacing w:before="60"/>
        <w:ind w:right="180"/>
        <w:jc w:val="both"/>
        <w:rPr>
          <w:rFonts w:ascii="Calibri" w:hAnsi="Calibri"/>
          <w:sz w:val="20"/>
          <w:szCs w:val="20"/>
        </w:rPr>
      </w:pPr>
    </w:p>
    <w:p w:rsidR="00621B18" w:rsidRDefault="00621B18" w:rsidP="004C2C6C">
      <w:pPr>
        <w:spacing w:before="60"/>
        <w:ind w:right="180"/>
        <w:jc w:val="both"/>
        <w:rPr>
          <w:rFonts w:ascii="Calibri" w:hAnsi="Calibri"/>
          <w:sz w:val="20"/>
          <w:szCs w:val="20"/>
        </w:rPr>
      </w:pPr>
    </w:p>
    <w:p w:rsidR="00621B18" w:rsidRDefault="00621B18" w:rsidP="004C2C6C">
      <w:pPr>
        <w:spacing w:before="60"/>
        <w:ind w:right="180"/>
        <w:jc w:val="both"/>
        <w:rPr>
          <w:rFonts w:ascii="Calibri" w:hAnsi="Calibri"/>
          <w:sz w:val="20"/>
          <w:szCs w:val="20"/>
        </w:rPr>
      </w:pPr>
    </w:p>
    <w:p w:rsidR="00957DD0" w:rsidRPr="00957DD0" w:rsidRDefault="0082060E" w:rsidP="00957DD0">
      <w:pPr>
        <w:spacing w:after="200" w:line="276" w:lineRule="auto"/>
        <w:ind w:right="180"/>
        <w:contextualSpacing/>
        <w:jc w:val="both"/>
        <w:rPr>
          <w:rFonts w:ascii="Calibri" w:hAnsi="Calibri"/>
          <w:sz w:val="20"/>
          <w:szCs w:val="20"/>
        </w:rPr>
      </w:pPr>
      <w:r>
        <w:rPr>
          <w:rFonts w:ascii="Calibri" w:hAnsi="Calibri"/>
          <w:sz w:val="20"/>
          <w:szCs w:val="20"/>
        </w:rPr>
        <w:t>Uvedené prostriedky sú určené na tieto priority:</w:t>
      </w:r>
    </w:p>
    <w:p w:rsidR="00957DD0" w:rsidRPr="00957DD0" w:rsidRDefault="00957DD0" w:rsidP="00957DD0">
      <w:pPr>
        <w:spacing w:after="200" w:line="276" w:lineRule="auto"/>
        <w:ind w:left="1350" w:right="180"/>
        <w:contextualSpacing/>
        <w:jc w:val="both"/>
        <w:rPr>
          <w:rFonts w:ascii="Calibri" w:hAnsi="Calibri"/>
          <w:sz w:val="20"/>
          <w:szCs w:val="20"/>
          <w:lang w:val="sr-Cyrl-RS"/>
        </w:rPr>
      </w:pPr>
    </w:p>
    <w:p w:rsidR="00957DD0" w:rsidRP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 xml:space="preserve">Referencie na program: </w:t>
      </w:r>
    </w:p>
    <w:p w:rsidR="00957DD0" w:rsidRDefault="00957DD0" w:rsidP="00957DD0">
      <w:pPr>
        <w:numPr>
          <w:ilvl w:val="0"/>
          <w:numId w:val="17"/>
        </w:numPr>
        <w:spacing w:after="200" w:line="276" w:lineRule="auto"/>
        <w:ind w:right="180"/>
        <w:contextualSpacing/>
        <w:jc w:val="both"/>
        <w:rPr>
          <w:rFonts w:ascii="Calibri" w:hAnsi="Calibri"/>
          <w:sz w:val="20"/>
          <w:szCs w:val="20"/>
        </w:rPr>
      </w:pPr>
      <w:r>
        <w:rPr>
          <w:rFonts w:ascii="Calibri" w:hAnsi="Calibri"/>
          <w:sz w:val="20"/>
          <w:szCs w:val="20"/>
        </w:rPr>
        <w:t>Oblasť realizácie programu, počet užívateľov programu a jeho udržateľnosť.</w:t>
      </w:r>
    </w:p>
    <w:p w:rsidR="00411933" w:rsidRPr="00957DD0" w:rsidRDefault="00411933" w:rsidP="00411933">
      <w:pPr>
        <w:spacing w:after="200" w:line="276" w:lineRule="auto"/>
        <w:ind w:left="1260" w:right="180"/>
        <w:contextualSpacing/>
        <w:jc w:val="both"/>
        <w:rPr>
          <w:rFonts w:ascii="Calibri" w:hAnsi="Calibri"/>
          <w:sz w:val="20"/>
          <w:szCs w:val="20"/>
          <w:lang w:val="sr-Cyrl-RS"/>
        </w:rPr>
      </w:pPr>
    </w:p>
    <w:p w:rsidR="00957DD0" w:rsidRP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Ciele, ktoré sa dosahujú:</w:t>
      </w:r>
    </w:p>
    <w:p w:rsidR="00957DD0" w:rsidRDefault="00957DD0" w:rsidP="00957DD0">
      <w:pPr>
        <w:numPr>
          <w:ilvl w:val="0"/>
          <w:numId w:val="18"/>
        </w:numPr>
        <w:spacing w:after="200" w:line="276" w:lineRule="auto"/>
        <w:ind w:right="180"/>
        <w:contextualSpacing/>
        <w:jc w:val="both"/>
        <w:rPr>
          <w:rFonts w:ascii="Calibri" w:hAnsi="Calibri"/>
          <w:sz w:val="20"/>
          <w:szCs w:val="20"/>
        </w:rPr>
      </w:pPr>
      <w:r>
        <w:rPr>
          <w:rFonts w:ascii="Calibri" w:hAnsi="Calibri"/>
          <w:sz w:val="20"/>
          <w:szCs w:val="20"/>
        </w:rPr>
        <w:t xml:space="preserve">Rozsah uspokojenia verejného záujmu, stupeň zlepšenia stavu v oblasti, v ktorej sa program realizuje. </w:t>
      </w:r>
    </w:p>
    <w:p w:rsidR="00411933" w:rsidRPr="00957DD0" w:rsidRDefault="00411933" w:rsidP="00411933">
      <w:pPr>
        <w:spacing w:after="200" w:line="276" w:lineRule="auto"/>
        <w:ind w:left="1260" w:right="180"/>
        <w:contextualSpacing/>
        <w:jc w:val="both"/>
        <w:rPr>
          <w:rFonts w:ascii="Calibri" w:hAnsi="Calibri"/>
          <w:sz w:val="20"/>
          <w:szCs w:val="20"/>
          <w:lang w:val="sr-Cyrl-RS"/>
        </w:rPr>
      </w:pPr>
    </w:p>
    <w:p w:rsid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Spolufinancovanie projektov z iných zdrojov</w:t>
      </w:r>
    </w:p>
    <w:p w:rsidR="00411933" w:rsidRPr="00957DD0" w:rsidRDefault="00411933" w:rsidP="00411933">
      <w:pPr>
        <w:spacing w:after="200" w:line="276" w:lineRule="auto"/>
        <w:ind w:left="540" w:right="180"/>
        <w:contextualSpacing/>
        <w:jc w:val="both"/>
        <w:rPr>
          <w:rFonts w:ascii="Calibri" w:hAnsi="Calibri"/>
          <w:b/>
          <w:sz w:val="20"/>
          <w:szCs w:val="20"/>
          <w:lang w:val="sr-Cyrl-RS"/>
        </w:rPr>
      </w:pPr>
    </w:p>
    <w:p w:rsidR="00957DD0" w:rsidRDefault="00957DD0" w:rsidP="00957DD0">
      <w:pPr>
        <w:numPr>
          <w:ilvl w:val="0"/>
          <w:numId w:val="10"/>
        </w:numPr>
        <w:spacing w:after="200" w:line="276" w:lineRule="auto"/>
        <w:ind w:right="180"/>
        <w:contextualSpacing/>
        <w:jc w:val="both"/>
        <w:rPr>
          <w:rFonts w:ascii="Calibri" w:hAnsi="Calibri"/>
          <w:b/>
          <w:sz w:val="20"/>
          <w:szCs w:val="20"/>
        </w:rPr>
      </w:pPr>
      <w:r>
        <w:rPr>
          <w:rFonts w:ascii="Calibri" w:hAnsi="Calibri"/>
          <w:b/>
          <w:sz w:val="20"/>
          <w:szCs w:val="20"/>
        </w:rPr>
        <w:t>Zákonnosť a účinnosť využívania prostriedkov  a udržateľnosť predchádzajúcich programov</w:t>
      </w:r>
    </w:p>
    <w:p w:rsidR="00411933" w:rsidRPr="00957DD0" w:rsidRDefault="00411933" w:rsidP="00411933">
      <w:pPr>
        <w:spacing w:after="200" w:line="276" w:lineRule="auto"/>
        <w:ind w:right="180"/>
        <w:contextualSpacing/>
        <w:jc w:val="both"/>
        <w:rPr>
          <w:rFonts w:ascii="Calibri" w:hAnsi="Calibri"/>
          <w:b/>
          <w:sz w:val="20"/>
          <w:szCs w:val="20"/>
          <w:lang w:val="sr-Cyrl-RS"/>
        </w:rPr>
      </w:pPr>
    </w:p>
    <w:p w:rsidR="00957DD0" w:rsidRPr="00957DD0" w:rsidRDefault="00957DD0" w:rsidP="00957DD0">
      <w:pPr>
        <w:numPr>
          <w:ilvl w:val="0"/>
          <w:numId w:val="10"/>
        </w:numPr>
        <w:spacing w:after="200" w:line="276" w:lineRule="auto"/>
        <w:ind w:right="180"/>
        <w:contextualSpacing/>
        <w:jc w:val="both"/>
        <w:rPr>
          <w:rFonts w:ascii="Calibri" w:hAnsi="Calibri"/>
          <w:sz w:val="20"/>
          <w:szCs w:val="20"/>
        </w:rPr>
      </w:pPr>
      <w:r>
        <w:rPr>
          <w:rFonts w:ascii="Calibri" w:hAnsi="Calibri"/>
          <w:b/>
          <w:sz w:val="20"/>
          <w:szCs w:val="20"/>
        </w:rPr>
        <w:t xml:space="preserve">Pestovanie </w:t>
      </w:r>
      <w:proofErr w:type="spellStart"/>
      <w:r>
        <w:rPr>
          <w:rFonts w:ascii="Calibri" w:hAnsi="Calibri"/>
          <w:b/>
          <w:sz w:val="20"/>
          <w:szCs w:val="20"/>
        </w:rPr>
        <w:t>multikultúrnosti</w:t>
      </w:r>
      <w:proofErr w:type="spellEnd"/>
      <w:r>
        <w:rPr>
          <w:rFonts w:ascii="Calibri" w:hAnsi="Calibri"/>
          <w:b/>
          <w:sz w:val="20"/>
          <w:szCs w:val="20"/>
        </w:rPr>
        <w:t>/</w:t>
      </w:r>
      <w:proofErr w:type="spellStart"/>
      <w:r>
        <w:rPr>
          <w:rFonts w:ascii="Calibri" w:hAnsi="Calibri"/>
          <w:b/>
          <w:sz w:val="20"/>
          <w:szCs w:val="20"/>
        </w:rPr>
        <w:t>interkultúrnosti</w:t>
      </w:r>
      <w:proofErr w:type="spellEnd"/>
      <w:r>
        <w:rPr>
          <w:rFonts w:ascii="Calibri" w:hAnsi="Calibri"/>
          <w:b/>
          <w:sz w:val="20"/>
          <w:szCs w:val="20"/>
        </w:rPr>
        <w:t xml:space="preserve"> a tradície, materinského jazyka príslušníkov národnostných menšín – národnostných spoločenstiev</w:t>
      </w:r>
      <w:r>
        <w:rPr>
          <w:rFonts w:ascii="Calibri" w:hAnsi="Calibri"/>
          <w:sz w:val="20"/>
          <w:szCs w:val="20"/>
        </w:rPr>
        <w:t xml:space="preserve"> </w:t>
      </w:r>
    </w:p>
    <w:p w:rsidR="00957DD0" w:rsidRPr="00957DD0" w:rsidRDefault="00957DD0" w:rsidP="00957DD0">
      <w:pPr>
        <w:numPr>
          <w:ilvl w:val="0"/>
          <w:numId w:val="18"/>
        </w:numPr>
        <w:spacing w:after="200" w:line="276" w:lineRule="auto"/>
        <w:ind w:right="180"/>
        <w:contextualSpacing/>
        <w:jc w:val="both"/>
        <w:rPr>
          <w:rFonts w:ascii="Calibri" w:hAnsi="Calibri"/>
          <w:b/>
          <w:sz w:val="20"/>
          <w:szCs w:val="20"/>
        </w:rPr>
      </w:pPr>
      <w:r>
        <w:rPr>
          <w:rFonts w:ascii="Calibri" w:hAnsi="Calibri"/>
          <w:sz w:val="20"/>
          <w:szCs w:val="20"/>
        </w:rPr>
        <w:t xml:space="preserve">vytváranie podmienok, aby sa používatelia programu, príslušníci rôznych národnostných spoločenstiev, navzájom lepšie spoznali a získali tak ďalšie poznatky o dejinách, kultúre a iných dôležitých skutočnostiach o spolunažívaní, posilnenie </w:t>
      </w:r>
      <w:proofErr w:type="spellStart"/>
      <w:r>
        <w:rPr>
          <w:rFonts w:ascii="Calibri" w:hAnsi="Calibri"/>
          <w:sz w:val="20"/>
          <w:szCs w:val="20"/>
        </w:rPr>
        <w:t>medzietnickej</w:t>
      </w:r>
      <w:proofErr w:type="spellEnd"/>
      <w:r>
        <w:rPr>
          <w:rFonts w:ascii="Calibri" w:hAnsi="Calibri"/>
          <w:sz w:val="20"/>
          <w:szCs w:val="20"/>
        </w:rPr>
        <w:t xml:space="preserve"> dôvery.</w:t>
      </w:r>
    </w:p>
    <w:p w:rsidR="00C44BB7" w:rsidRPr="000A672D" w:rsidRDefault="00C44BB7" w:rsidP="008064FF">
      <w:pPr>
        <w:spacing w:after="200" w:line="276" w:lineRule="auto"/>
        <w:ind w:left="1350" w:right="180"/>
        <w:contextualSpacing/>
        <w:jc w:val="both"/>
        <w:rPr>
          <w:rFonts w:ascii="Calibri" w:eastAsia="Calibri" w:hAnsi="Calibri" w:cs="Calibri"/>
          <w:noProof/>
          <w:sz w:val="20"/>
          <w:szCs w:val="20"/>
          <w:lang w:val="sr-Cyrl-RS"/>
        </w:rPr>
      </w:pPr>
    </w:p>
    <w:p w:rsidR="000A672D" w:rsidRPr="000A672D" w:rsidRDefault="000A672D" w:rsidP="000A672D">
      <w:pPr>
        <w:ind w:right="180"/>
        <w:jc w:val="center"/>
        <w:rPr>
          <w:rFonts w:ascii="Calibri" w:hAnsi="Calibri" w:cs="Calibri"/>
          <w:noProof/>
          <w:sz w:val="20"/>
          <w:szCs w:val="20"/>
          <w:lang w:val="sr-Cyrl-RS"/>
        </w:rPr>
      </w:pPr>
    </w:p>
    <w:p w:rsidR="0055552E" w:rsidRPr="0055552E" w:rsidRDefault="0055552E" w:rsidP="0055552E">
      <w:pPr>
        <w:spacing w:before="120" w:after="120"/>
        <w:ind w:right="181"/>
        <w:jc w:val="center"/>
        <w:outlineLvl w:val="0"/>
        <w:rPr>
          <w:rFonts w:ascii="Calibri" w:hAnsi="Calibri"/>
          <w:b/>
          <w:sz w:val="20"/>
          <w:szCs w:val="20"/>
        </w:rPr>
      </w:pPr>
      <w:r>
        <w:rPr>
          <w:rFonts w:ascii="Calibri" w:hAnsi="Calibri"/>
          <w:b/>
          <w:sz w:val="20"/>
          <w:szCs w:val="20"/>
        </w:rPr>
        <w:t>KRITÉRIÁ PRIDELENIA FINANČNÝCH PROSTRIEDKOV</w:t>
      </w:r>
    </w:p>
    <w:p w:rsidR="0055552E" w:rsidRDefault="0055552E" w:rsidP="0055552E">
      <w:pPr>
        <w:ind w:right="180" w:firstLine="567"/>
        <w:jc w:val="both"/>
        <w:rPr>
          <w:rFonts w:ascii="Calibri" w:hAnsi="Calibri"/>
          <w:sz w:val="20"/>
          <w:szCs w:val="20"/>
        </w:rPr>
      </w:pPr>
      <w:r>
        <w:rPr>
          <w:rFonts w:ascii="Calibri" w:hAnsi="Calibri"/>
          <w:sz w:val="20"/>
          <w:szCs w:val="20"/>
        </w:rPr>
        <w:t>Pri určovaní výšky alokačných prostriedkov platia tieto kritériá:</w:t>
      </w:r>
    </w:p>
    <w:p w:rsidR="00C44BB7" w:rsidRPr="00C44BB7" w:rsidRDefault="00C44BB7" w:rsidP="00C44BB7">
      <w:pPr>
        <w:jc w:val="center"/>
        <w:rPr>
          <w:rFonts w:ascii="Calibri" w:hAnsi="Calibri" w:cs="Calibri"/>
          <w:b/>
          <w:noProof/>
          <w:sz w:val="20"/>
          <w:szCs w:val="20"/>
          <w:highlight w:val="green"/>
          <w:lang w:val="sr-Cyrl-RS"/>
        </w:rPr>
      </w:pPr>
    </w:p>
    <w:p w:rsidR="00957DD0" w:rsidRPr="00957DD0" w:rsidRDefault="00957DD0" w:rsidP="00957DD0">
      <w:pPr>
        <w:jc w:val="center"/>
        <w:rPr>
          <w:rFonts w:ascii="Calibri" w:hAnsi="Calibri" w:cs="Calibri"/>
          <w:b/>
          <w:noProof/>
          <w:sz w:val="20"/>
          <w:szCs w:val="20"/>
          <w:highlight w:val="green"/>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Por</w:t>
            </w:r>
            <w:r w:rsidR="0001380E">
              <w:rPr>
                <w:rFonts w:ascii="Calibri" w:hAnsi="Calibri"/>
                <w:sz w:val="20"/>
                <w:szCs w:val="20"/>
              </w:rPr>
              <w:t>.</w:t>
            </w:r>
          </w:p>
          <w:p w:rsidR="00957DD0" w:rsidRPr="00957DD0" w:rsidRDefault="00957DD0" w:rsidP="00957DD0">
            <w:pPr>
              <w:adjustRightInd w:val="0"/>
              <w:jc w:val="center"/>
              <w:rPr>
                <w:rFonts w:ascii="Calibri" w:hAnsi="Calibri" w:cs="Calibri"/>
                <w:sz w:val="20"/>
                <w:szCs w:val="20"/>
              </w:rPr>
            </w:pPr>
            <w:r>
              <w:rPr>
                <w:rFonts w:ascii="Calibri" w:hAnsi="Calibri"/>
                <w:sz w:val="20"/>
                <w:szCs w:val="20"/>
              </w:rPr>
              <w:t>číslo</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Kritériá</w:t>
            </w:r>
          </w:p>
        </w:tc>
        <w:tc>
          <w:tcPr>
            <w:tcW w:w="1016" w:type="dxa"/>
            <w:tcBorders>
              <w:top w:val="single" w:sz="4" w:space="0" w:color="auto"/>
              <w:left w:val="single" w:sz="4" w:space="0" w:color="auto"/>
              <w:bottom w:val="single" w:sz="4" w:space="0" w:color="auto"/>
              <w:right w:val="single" w:sz="4" w:space="0" w:color="auto"/>
            </w:tcBorders>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Body</w:t>
            </w:r>
          </w:p>
          <w:p w:rsidR="00957DD0" w:rsidRPr="00957DD0" w:rsidRDefault="00957DD0" w:rsidP="00957DD0">
            <w:pPr>
              <w:adjustRightInd w:val="0"/>
              <w:jc w:val="center"/>
              <w:rPr>
                <w:rFonts w:ascii="Calibri" w:hAnsi="Calibri" w:cs="Calibri"/>
                <w:sz w:val="20"/>
                <w:szCs w:val="20"/>
                <w:lang w:val="sr-Latn-RS"/>
              </w:rPr>
            </w:pP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ind w:left="-15"/>
              <w:rPr>
                <w:rFonts w:ascii="Calibri" w:hAnsi="Calibri" w:cs="Calibri"/>
                <w:sz w:val="20"/>
                <w:szCs w:val="20"/>
              </w:rPr>
            </w:pPr>
            <w:r>
              <w:rPr>
                <w:rFonts w:ascii="Calibri" w:hAnsi="Calibri"/>
                <w:sz w:val="20"/>
                <w:szCs w:val="20"/>
              </w:rPr>
              <w:t>Ciele a aktivity programu/projektu sú v súlade s prioritami súbehu</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 – 30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Počet používateľov programu/projektu</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 – 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Stupeň zlepšenia v oblasti, v ktorej sa program/projekt realizuje</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 – 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Uplatnený bol inovatívny prístup pri plánovaní aktivít, ktoré prenášajú poznatky a skúsenosti občianskych združení do širšej spoločenskej komunity</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 – 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6</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rPr>
                <w:rFonts w:ascii="Calibri" w:hAnsi="Calibri" w:cs="Calibri"/>
                <w:sz w:val="20"/>
                <w:szCs w:val="20"/>
              </w:rPr>
            </w:pPr>
            <w:r>
              <w:rPr>
                <w:rFonts w:ascii="Calibri" w:hAnsi="Calibri"/>
                <w:sz w:val="20"/>
                <w:szCs w:val="20"/>
              </w:rPr>
              <w:t>Viditeľnosť programu/projektu;</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eastAsia="Calibri" w:hAnsi="Calibri" w:cs="Calibri"/>
                <w:sz w:val="20"/>
                <w:szCs w:val="20"/>
              </w:rPr>
            </w:pPr>
            <w:r>
              <w:rPr>
                <w:rFonts w:ascii="Calibri" w:hAnsi="Calibri"/>
                <w:sz w:val="20"/>
                <w:szCs w:val="20"/>
              </w:rPr>
              <w:t>0 – 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7</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rPr>
                <w:rFonts w:ascii="Calibri" w:hAnsi="Calibri" w:cs="Calibri"/>
                <w:sz w:val="20"/>
                <w:szCs w:val="20"/>
              </w:rPr>
            </w:pPr>
            <w:r>
              <w:rPr>
                <w:rFonts w:ascii="Calibri" w:hAnsi="Calibri"/>
                <w:sz w:val="20"/>
                <w:szCs w:val="20"/>
              </w:rPr>
              <w:t>Udržateľnosť výsledkov programu/projektu;</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 – 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8</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rPr>
                <w:rFonts w:ascii="Calibri" w:hAnsi="Calibri" w:cs="Calibri"/>
                <w:sz w:val="20"/>
                <w:szCs w:val="20"/>
              </w:rPr>
            </w:pPr>
            <w:r>
              <w:rPr>
                <w:rFonts w:ascii="Calibri" w:hAnsi="Calibri"/>
                <w:sz w:val="20"/>
                <w:szCs w:val="20"/>
              </w:rPr>
              <w:t>Zapojenie partnerských inštitúcií do realizácie programu/projektu</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 – 10</w:t>
            </w:r>
          </w:p>
        </w:tc>
      </w:tr>
      <w:tr w:rsidR="00957DD0" w:rsidRPr="00957DD0" w:rsidTr="00FB7C41">
        <w:trPr>
          <w:jc w:val="center"/>
        </w:trPr>
        <w:tc>
          <w:tcPr>
            <w:tcW w:w="985"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9</w:t>
            </w:r>
          </w:p>
        </w:tc>
        <w:tc>
          <w:tcPr>
            <w:tcW w:w="6211" w:type="dxa"/>
            <w:tcBorders>
              <w:top w:val="single" w:sz="4" w:space="0" w:color="auto"/>
              <w:left w:val="single" w:sz="4" w:space="0" w:color="auto"/>
              <w:bottom w:val="single" w:sz="4" w:space="0" w:color="auto"/>
              <w:right w:val="single" w:sz="4" w:space="0" w:color="auto"/>
            </w:tcBorders>
            <w:hideMark/>
          </w:tcPr>
          <w:p w:rsidR="00957DD0" w:rsidRPr="00957DD0" w:rsidRDefault="00957DD0" w:rsidP="0001380E">
            <w:pPr>
              <w:jc w:val="both"/>
              <w:rPr>
                <w:rFonts w:ascii="Calibri" w:hAnsi="Calibri" w:cs="Calibri"/>
                <w:noProof/>
                <w:sz w:val="20"/>
                <w:szCs w:val="20"/>
              </w:rPr>
            </w:pPr>
            <w:r>
              <w:rPr>
                <w:rFonts w:ascii="Calibri" w:hAnsi="Calibri"/>
                <w:sz w:val="20"/>
                <w:szCs w:val="20"/>
              </w:rPr>
              <w:t xml:space="preserve">Predchádzajúce skúsenosti s realizáciou programov/projektov, ktoré prispievajú k </w:t>
            </w:r>
            <w:r w:rsidR="0001380E">
              <w:rPr>
                <w:rFonts w:ascii="Calibri" w:hAnsi="Calibri"/>
                <w:sz w:val="20"/>
                <w:szCs w:val="20"/>
              </w:rPr>
              <w:t>zlepšeniu</w:t>
            </w:r>
            <w:r>
              <w:rPr>
                <w:rFonts w:ascii="Calibri" w:hAnsi="Calibri"/>
                <w:sz w:val="20"/>
                <w:szCs w:val="20"/>
              </w:rPr>
              <w:t xml:space="preserve"> verejného záujmu v oblasti, v ktorej sa program/projekt realizuje.</w:t>
            </w:r>
          </w:p>
        </w:tc>
        <w:tc>
          <w:tcPr>
            <w:tcW w:w="1016" w:type="dxa"/>
            <w:tcBorders>
              <w:top w:val="single" w:sz="4" w:space="0" w:color="auto"/>
              <w:left w:val="single" w:sz="4" w:space="0" w:color="auto"/>
              <w:bottom w:val="single" w:sz="4" w:space="0" w:color="auto"/>
              <w:right w:val="single" w:sz="4" w:space="0" w:color="auto"/>
            </w:tcBorders>
            <w:hideMark/>
          </w:tcPr>
          <w:p w:rsidR="00957DD0" w:rsidRPr="00957DD0" w:rsidRDefault="00957DD0" w:rsidP="00957DD0">
            <w:pPr>
              <w:adjustRightInd w:val="0"/>
              <w:jc w:val="center"/>
              <w:rPr>
                <w:rFonts w:ascii="Calibri" w:hAnsi="Calibri" w:cs="Calibri"/>
                <w:sz w:val="20"/>
                <w:szCs w:val="20"/>
              </w:rPr>
            </w:pPr>
            <w:r>
              <w:rPr>
                <w:rFonts w:ascii="Calibri" w:hAnsi="Calibri"/>
                <w:sz w:val="20"/>
                <w:szCs w:val="20"/>
              </w:rPr>
              <w:t>0 – 10</w:t>
            </w:r>
          </w:p>
        </w:tc>
      </w:tr>
    </w:tbl>
    <w:p w:rsidR="00957DD0" w:rsidRPr="00957DD0" w:rsidRDefault="00957DD0" w:rsidP="00957DD0">
      <w:pPr>
        <w:jc w:val="center"/>
        <w:rPr>
          <w:rFonts w:ascii="Calibri" w:hAnsi="Calibri" w:cs="Calibri"/>
          <w:b/>
          <w:noProof/>
          <w:sz w:val="20"/>
          <w:szCs w:val="20"/>
          <w:highlight w:val="green"/>
          <w:lang w:val="sr-Cyrl-RS"/>
        </w:rPr>
      </w:pPr>
    </w:p>
    <w:p w:rsidR="003C4044" w:rsidRDefault="003C4044" w:rsidP="0055552E">
      <w:pPr>
        <w:ind w:right="180" w:firstLine="567"/>
        <w:jc w:val="both"/>
        <w:rPr>
          <w:rFonts w:ascii="Calibri" w:hAnsi="Calibri"/>
          <w:sz w:val="20"/>
          <w:szCs w:val="20"/>
        </w:rPr>
      </w:pPr>
    </w:p>
    <w:p w:rsidR="0055552E" w:rsidRPr="0055552E" w:rsidRDefault="0055552E" w:rsidP="000A672D">
      <w:pPr>
        <w:ind w:left="567"/>
        <w:contextualSpacing/>
        <w:jc w:val="both"/>
        <w:rPr>
          <w:rFonts w:ascii="Calibri" w:hAnsi="Calibri"/>
          <w:sz w:val="20"/>
          <w:szCs w:val="20"/>
          <w:u w:val="single"/>
        </w:rPr>
      </w:pPr>
    </w:p>
    <w:p w:rsidR="00411933" w:rsidRDefault="00957DD0" w:rsidP="00957DD0">
      <w:pPr>
        <w:tabs>
          <w:tab w:val="left" w:pos="1680"/>
        </w:tabs>
        <w:spacing w:before="120" w:after="120"/>
        <w:ind w:right="181"/>
        <w:rPr>
          <w:rFonts w:ascii="Calibri" w:hAnsi="Calibri"/>
          <w:b/>
          <w:sz w:val="20"/>
          <w:szCs w:val="20"/>
        </w:rPr>
      </w:pPr>
      <w:r>
        <w:rPr>
          <w:rFonts w:ascii="Calibri" w:hAnsi="Calibri"/>
          <w:b/>
          <w:sz w:val="20"/>
          <w:szCs w:val="20"/>
        </w:rPr>
        <w:t xml:space="preserve">                                                                    </w:t>
      </w:r>
    </w:p>
    <w:p w:rsidR="00411933" w:rsidRDefault="00411933"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E418C6" w:rsidRDefault="00E418C6" w:rsidP="00957DD0">
      <w:pPr>
        <w:tabs>
          <w:tab w:val="left" w:pos="1680"/>
        </w:tabs>
        <w:spacing w:before="120" w:after="120"/>
        <w:ind w:right="181"/>
        <w:rPr>
          <w:rFonts w:ascii="Calibri" w:hAnsi="Calibri"/>
          <w:b/>
          <w:sz w:val="20"/>
          <w:szCs w:val="20"/>
          <w:lang w:val="sr-Latn-RS"/>
        </w:rPr>
      </w:pPr>
    </w:p>
    <w:p w:rsidR="00E418C6" w:rsidRDefault="00E418C6" w:rsidP="00957DD0">
      <w:pPr>
        <w:tabs>
          <w:tab w:val="left" w:pos="1680"/>
        </w:tabs>
        <w:spacing w:before="120" w:after="120"/>
        <w:ind w:right="181"/>
        <w:rPr>
          <w:rFonts w:ascii="Calibri" w:hAnsi="Calibri"/>
          <w:b/>
          <w:sz w:val="20"/>
          <w:szCs w:val="20"/>
          <w:lang w:val="sr-Latn-RS"/>
        </w:rPr>
      </w:pPr>
    </w:p>
    <w:p w:rsidR="00411933" w:rsidRDefault="00411933" w:rsidP="00957DD0">
      <w:pPr>
        <w:tabs>
          <w:tab w:val="left" w:pos="1680"/>
        </w:tabs>
        <w:spacing w:before="120" w:after="120"/>
        <w:ind w:right="181"/>
        <w:rPr>
          <w:rFonts w:ascii="Calibri" w:hAnsi="Calibri"/>
          <w:b/>
          <w:sz w:val="20"/>
          <w:szCs w:val="20"/>
          <w:lang w:val="sr-Latn-RS"/>
        </w:rPr>
      </w:pPr>
    </w:p>
    <w:p w:rsidR="0055552E" w:rsidRPr="0055552E" w:rsidRDefault="00411933" w:rsidP="00411933">
      <w:pPr>
        <w:tabs>
          <w:tab w:val="left" w:pos="1680"/>
        </w:tabs>
        <w:spacing w:before="120" w:after="120"/>
        <w:ind w:right="181"/>
        <w:rPr>
          <w:rFonts w:ascii="Calibri" w:hAnsi="Calibri"/>
          <w:b/>
          <w:sz w:val="20"/>
          <w:szCs w:val="20"/>
        </w:rPr>
      </w:pPr>
      <w:r>
        <w:rPr>
          <w:rFonts w:ascii="Calibri" w:hAnsi="Calibri"/>
          <w:b/>
          <w:sz w:val="20"/>
          <w:szCs w:val="20"/>
        </w:rPr>
        <w:lastRenderedPageBreak/>
        <w:t xml:space="preserve">                                                                             SPÔSOB </w:t>
      </w:r>
      <w:r w:rsidR="0001380E">
        <w:rPr>
          <w:rFonts w:ascii="Calibri" w:hAnsi="Calibri"/>
          <w:b/>
          <w:sz w:val="20"/>
          <w:szCs w:val="20"/>
        </w:rPr>
        <w:t>UCHÁDZANIA SA</w:t>
      </w:r>
    </w:p>
    <w:p w:rsidR="00AC3E3B" w:rsidRPr="008064FF" w:rsidRDefault="00AC3E3B" w:rsidP="008064FF">
      <w:pPr>
        <w:spacing w:before="60" w:after="60"/>
        <w:ind w:right="181" w:firstLine="567"/>
        <w:jc w:val="both"/>
        <w:rPr>
          <w:rFonts w:ascii="Calibri" w:hAnsi="Calibri"/>
          <w:sz w:val="20"/>
          <w:szCs w:val="20"/>
        </w:rPr>
      </w:pPr>
    </w:p>
    <w:p w:rsidR="0082060E" w:rsidRPr="00372C4D" w:rsidRDefault="0082060E" w:rsidP="0082060E">
      <w:pPr>
        <w:spacing w:before="60" w:after="60"/>
        <w:ind w:right="181" w:firstLine="567"/>
        <w:jc w:val="both"/>
        <w:rPr>
          <w:rFonts w:ascii="Calibri" w:hAnsi="Calibri"/>
          <w:b/>
          <w:sz w:val="20"/>
          <w:szCs w:val="20"/>
        </w:rPr>
      </w:pPr>
      <w:r>
        <w:rPr>
          <w:rFonts w:ascii="Calibri" w:hAnsi="Calibri"/>
          <w:sz w:val="20"/>
          <w:szCs w:val="20"/>
        </w:rPr>
        <w:t>Prihláška na súbeh sa podáva na jednotnom tlačive, ktoré je zverejnené na webovej stránke sekretariátu v lehote, ktorá spravidla nemôže byť kratšia ako 15 dní odo dňa zverejnenia súbehu.</w:t>
      </w:r>
    </w:p>
    <w:p w:rsidR="0082060E" w:rsidRPr="00372C4D" w:rsidRDefault="0082060E" w:rsidP="0082060E">
      <w:pPr>
        <w:spacing w:before="60" w:after="60"/>
        <w:ind w:right="181" w:firstLine="567"/>
        <w:jc w:val="both"/>
        <w:rPr>
          <w:rFonts w:ascii="Calibri" w:hAnsi="Calibri"/>
          <w:sz w:val="20"/>
          <w:szCs w:val="20"/>
        </w:rPr>
      </w:pPr>
      <w:r>
        <w:rPr>
          <w:rFonts w:ascii="Calibri" w:hAnsi="Calibri"/>
          <w:sz w:val="20"/>
          <w:szCs w:val="20"/>
        </w:rPr>
        <w:t>Jedna právnická osoba môže predložiť až dve prihlášky</w:t>
      </w:r>
    </w:p>
    <w:p w:rsidR="0082060E" w:rsidRPr="00372C4D" w:rsidRDefault="00411933" w:rsidP="0082060E">
      <w:pPr>
        <w:spacing w:before="60" w:after="60"/>
        <w:ind w:right="181" w:firstLine="567"/>
        <w:jc w:val="both"/>
        <w:rPr>
          <w:rFonts w:ascii="Calibri" w:hAnsi="Calibri"/>
          <w:sz w:val="20"/>
          <w:szCs w:val="20"/>
        </w:rPr>
      </w:pPr>
      <w:r>
        <w:rPr>
          <w:rFonts w:ascii="Calibri" w:hAnsi="Calibri"/>
          <w:sz w:val="20"/>
          <w:szCs w:val="20"/>
        </w:rPr>
        <w:t>Súbeh je otvorený od 4. marca do 7. apríla 2026.</w:t>
      </w:r>
    </w:p>
    <w:p w:rsidR="0082060E" w:rsidRPr="00372C4D" w:rsidRDefault="0082060E" w:rsidP="0082060E">
      <w:pPr>
        <w:tabs>
          <w:tab w:val="left" w:pos="810"/>
        </w:tabs>
        <w:spacing w:before="60"/>
        <w:contextualSpacing/>
        <w:jc w:val="both"/>
        <w:rPr>
          <w:rFonts w:ascii="Calibri" w:hAnsi="Calibri"/>
          <w:sz w:val="20"/>
          <w:szCs w:val="20"/>
        </w:rPr>
      </w:pPr>
      <w:r>
        <w:rPr>
          <w:rFonts w:ascii="Calibri" w:hAnsi="Calibri"/>
          <w:sz w:val="20"/>
          <w:szCs w:val="20"/>
        </w:rPr>
        <w:t>S prihláškou na súbeh združenia predkladajú nasledovnú dokumentáciu:</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fotokópia rozhodnutia о zápise do registra v obchodn</w:t>
      </w:r>
      <w:r w:rsidR="0065443E">
        <w:rPr>
          <w:rFonts w:ascii="Calibri" w:hAnsi="Calibri"/>
          <w:sz w:val="20"/>
          <w:szCs w:val="20"/>
        </w:rPr>
        <w:t>om</w:t>
      </w:r>
      <w:r>
        <w:rPr>
          <w:rFonts w:ascii="Calibri" w:hAnsi="Calibri"/>
          <w:sz w:val="20"/>
          <w:szCs w:val="20"/>
        </w:rPr>
        <w:t xml:space="preserve"> registr</w:t>
      </w:r>
      <w:r w:rsidR="0065443E">
        <w:rPr>
          <w:rFonts w:ascii="Calibri" w:hAnsi="Calibri"/>
          <w:sz w:val="20"/>
          <w:szCs w:val="20"/>
        </w:rPr>
        <w:t>i</w:t>
      </w:r>
      <w:r>
        <w:rPr>
          <w:rFonts w:ascii="Calibri" w:hAnsi="Calibri"/>
          <w:sz w:val="20"/>
          <w:szCs w:val="20"/>
        </w:rPr>
        <w:t xml:space="preserve"> pre združenia;</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 xml:space="preserve">fotokópia potvrdenia o daňovom identifikačnom čísle; </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fotokópia výpisu zo stanov alebo zakladajúcej listiny združenia</w:t>
      </w:r>
      <w:r w:rsidR="0065443E">
        <w:rPr>
          <w:rFonts w:ascii="Calibri" w:hAnsi="Calibri"/>
          <w:sz w:val="20"/>
          <w:szCs w:val="20"/>
        </w:rPr>
        <w:t xml:space="preserve"> –</w:t>
      </w:r>
      <w:r>
        <w:rPr>
          <w:rFonts w:ascii="Calibri" w:hAnsi="Calibri"/>
          <w:sz w:val="20"/>
          <w:szCs w:val="20"/>
        </w:rPr>
        <w:t xml:space="preserve"> čas</w:t>
      </w:r>
      <w:r w:rsidR="0065443E">
        <w:rPr>
          <w:rFonts w:ascii="Calibri" w:hAnsi="Calibri"/>
          <w:sz w:val="20"/>
          <w:szCs w:val="20"/>
        </w:rPr>
        <w:t>ť</w:t>
      </w:r>
      <w:r>
        <w:rPr>
          <w:rFonts w:ascii="Calibri" w:hAnsi="Calibri"/>
          <w:sz w:val="20"/>
          <w:szCs w:val="20"/>
        </w:rPr>
        <w:t>, v ktorej je uvedené, že ciele združenia sa dosahujú v oblasti vzdelávania a výchovy, overená združením originálnou pečaťou a podpisom oprávnenej osoby združenia, alebo iba podpisom oprávnenej osoby združenia;</w:t>
      </w:r>
    </w:p>
    <w:p w:rsidR="0082060E" w:rsidRPr="00372C4D" w:rsidRDefault="0082060E" w:rsidP="0082060E">
      <w:pPr>
        <w:numPr>
          <w:ilvl w:val="0"/>
          <w:numId w:val="19"/>
        </w:numPr>
        <w:tabs>
          <w:tab w:val="left" w:pos="810"/>
        </w:tabs>
        <w:spacing w:before="60"/>
        <w:contextualSpacing/>
        <w:jc w:val="both"/>
        <w:rPr>
          <w:rFonts w:ascii="Calibri" w:hAnsi="Calibri"/>
          <w:sz w:val="20"/>
          <w:szCs w:val="20"/>
        </w:rPr>
      </w:pPr>
      <w:r>
        <w:rPr>
          <w:rFonts w:ascii="Calibri" w:hAnsi="Calibri"/>
          <w:sz w:val="20"/>
          <w:szCs w:val="20"/>
        </w:rPr>
        <w:t>dôkaz o tom, že osoba, ktorá podpísala prihlášku na súbeh, je osobou oprávnenou zastupovať združenie</w:t>
      </w:r>
      <w:r w:rsidR="0065443E">
        <w:rPr>
          <w:rFonts w:ascii="Calibri" w:hAnsi="Calibri"/>
          <w:sz w:val="20"/>
          <w:szCs w:val="20"/>
        </w:rPr>
        <w:t>.</w:t>
      </w:r>
      <w:r>
        <w:rPr>
          <w:rFonts w:ascii="Calibri" w:hAnsi="Calibri"/>
          <w:sz w:val="20"/>
          <w:szCs w:val="20"/>
        </w:rPr>
        <w:br/>
      </w:r>
    </w:p>
    <w:p w:rsidR="0065443E" w:rsidRDefault="0082060E" w:rsidP="00C53EB0">
      <w:pPr>
        <w:spacing w:before="60" w:after="60"/>
        <w:ind w:right="181" w:firstLine="567"/>
        <w:jc w:val="both"/>
        <w:rPr>
          <w:rFonts w:ascii="Calibri" w:hAnsi="Calibri"/>
          <w:sz w:val="20"/>
          <w:szCs w:val="20"/>
        </w:rPr>
      </w:pPr>
      <w:r>
        <w:rPr>
          <w:rFonts w:ascii="Calibri" w:hAnsi="Calibri"/>
          <w:sz w:val="20"/>
          <w:szCs w:val="20"/>
        </w:rPr>
        <w:t>Sekretariát si z úradnej moci zabezpečí údaje o skutočnostiach uvedených v bode 1 tohto článku, pokiaľ účastník výslovne neuvedie, že si údaje zabezpečí sám.</w:t>
      </w:r>
    </w:p>
    <w:p w:rsidR="0082060E" w:rsidRPr="00372C4D" w:rsidRDefault="0082060E" w:rsidP="00C53EB0">
      <w:pPr>
        <w:spacing w:before="60" w:after="60"/>
        <w:ind w:right="181" w:firstLine="567"/>
        <w:jc w:val="both"/>
        <w:rPr>
          <w:rFonts w:ascii="Calibri" w:hAnsi="Calibri"/>
          <w:sz w:val="20"/>
          <w:szCs w:val="20"/>
          <w:lang w:val="sr-Cyrl-RS"/>
        </w:rPr>
      </w:pPr>
    </w:p>
    <w:p w:rsidR="0082060E" w:rsidRPr="00C53EB0" w:rsidRDefault="0065443E" w:rsidP="00C53EB0">
      <w:pPr>
        <w:spacing w:before="60" w:after="60"/>
        <w:ind w:right="181" w:firstLine="567"/>
        <w:jc w:val="both"/>
        <w:rPr>
          <w:rFonts w:ascii="Calibri" w:hAnsi="Calibri"/>
          <w:sz w:val="20"/>
          <w:szCs w:val="20"/>
        </w:rPr>
      </w:pPr>
      <w:r>
        <w:rPr>
          <w:rFonts w:ascii="Calibri" w:hAnsi="Calibri"/>
          <w:sz w:val="20"/>
          <w:szCs w:val="20"/>
        </w:rPr>
        <w:t>S</w:t>
      </w:r>
      <w:r w:rsidR="0082060E">
        <w:rPr>
          <w:rFonts w:ascii="Calibri" w:hAnsi="Calibri"/>
          <w:sz w:val="20"/>
          <w:szCs w:val="20"/>
        </w:rPr>
        <w:t xml:space="preserve">ekretariát si vyhradzuje právo vyžiadať si </w:t>
      </w:r>
      <w:r>
        <w:rPr>
          <w:rFonts w:ascii="Calibri" w:hAnsi="Calibri"/>
          <w:sz w:val="20"/>
          <w:szCs w:val="20"/>
        </w:rPr>
        <w:t>v</w:t>
      </w:r>
      <w:r>
        <w:rPr>
          <w:rFonts w:ascii="Calibri" w:hAnsi="Calibri"/>
          <w:sz w:val="20"/>
          <w:szCs w:val="20"/>
        </w:rPr>
        <w:t xml:space="preserve"> prípade potreby </w:t>
      </w:r>
      <w:r w:rsidR="0082060E">
        <w:rPr>
          <w:rFonts w:ascii="Calibri" w:hAnsi="Calibri"/>
          <w:sz w:val="20"/>
          <w:szCs w:val="20"/>
        </w:rPr>
        <w:t>od žiadateľa doplňujúcu dokumentáciu a informácie; a ak žiadateľ neodpovie na žiadosť o doplnenie dokumentácie do 8 dní, sekretariát bude považovať žiadosť za neúplnú.</w:t>
      </w:r>
    </w:p>
    <w:p w:rsidR="00146FF6" w:rsidRPr="00372C4D" w:rsidRDefault="0082060E" w:rsidP="00C53EB0">
      <w:pPr>
        <w:spacing w:before="60" w:after="60"/>
        <w:ind w:right="181" w:firstLine="567"/>
        <w:jc w:val="both"/>
        <w:rPr>
          <w:rFonts w:ascii="Calibri" w:hAnsi="Calibri"/>
          <w:sz w:val="20"/>
          <w:szCs w:val="20"/>
        </w:rPr>
      </w:pPr>
      <w:r>
        <w:rPr>
          <w:rFonts w:ascii="Calibri" w:hAnsi="Calibri"/>
          <w:sz w:val="20"/>
          <w:szCs w:val="20"/>
        </w:rPr>
        <w:t>Dokumentácia podaná na súbeh sa nevracia.</w:t>
      </w:r>
    </w:p>
    <w:p w:rsidR="0082060E" w:rsidRPr="00372C4D" w:rsidRDefault="0082060E" w:rsidP="00C53EB0">
      <w:pPr>
        <w:spacing w:before="60" w:after="60"/>
        <w:ind w:right="181" w:firstLine="567"/>
        <w:jc w:val="both"/>
        <w:rPr>
          <w:rFonts w:ascii="Calibri" w:hAnsi="Calibri"/>
          <w:sz w:val="20"/>
          <w:szCs w:val="20"/>
        </w:rPr>
      </w:pPr>
      <w:r>
        <w:rPr>
          <w:rFonts w:ascii="Calibri" w:hAnsi="Calibri"/>
          <w:sz w:val="20"/>
          <w:szCs w:val="20"/>
        </w:rPr>
        <w:t>Po uplynutí lehoty na predkladanie prihlášok komisia začne posudzovať prihlášky.</w:t>
      </w:r>
    </w:p>
    <w:p w:rsidR="0082060E" w:rsidRPr="00372C4D" w:rsidRDefault="0082060E" w:rsidP="00C53EB0">
      <w:pPr>
        <w:spacing w:before="60" w:after="60"/>
        <w:ind w:right="181" w:firstLine="567"/>
        <w:jc w:val="both"/>
        <w:rPr>
          <w:rFonts w:ascii="Calibri" w:hAnsi="Calibri"/>
          <w:sz w:val="20"/>
          <w:szCs w:val="20"/>
        </w:rPr>
      </w:pPr>
      <w:r>
        <w:rPr>
          <w:rFonts w:ascii="Calibri" w:hAnsi="Calibri"/>
          <w:sz w:val="20"/>
          <w:szCs w:val="20"/>
        </w:rPr>
        <w:t xml:space="preserve">Oneskorené, neúplné, </w:t>
      </w:r>
      <w:r w:rsidR="0065443E">
        <w:rPr>
          <w:rFonts w:ascii="Calibri" w:hAnsi="Calibri"/>
          <w:sz w:val="20"/>
          <w:szCs w:val="20"/>
        </w:rPr>
        <w:t>prihlášky</w:t>
      </w:r>
      <w:r>
        <w:rPr>
          <w:rFonts w:ascii="Calibri" w:hAnsi="Calibri"/>
          <w:sz w:val="20"/>
          <w:szCs w:val="20"/>
        </w:rPr>
        <w:t>, ktoré nie sú podpísané alebo overené, ako aj neprípustné prihlášky komisia nebude posudzovať.</w:t>
      </w:r>
    </w:p>
    <w:p w:rsidR="0082060E" w:rsidRPr="0082060E" w:rsidRDefault="0082060E" w:rsidP="00C53EB0">
      <w:pPr>
        <w:spacing w:before="60" w:after="60"/>
        <w:ind w:right="181" w:firstLine="567"/>
        <w:jc w:val="both"/>
        <w:rPr>
          <w:rFonts w:ascii="Calibri" w:hAnsi="Calibri"/>
          <w:sz w:val="20"/>
          <w:szCs w:val="20"/>
        </w:rPr>
      </w:pPr>
      <w:r>
        <w:rPr>
          <w:rFonts w:ascii="Calibri" w:hAnsi="Calibri"/>
          <w:sz w:val="20"/>
          <w:szCs w:val="20"/>
        </w:rPr>
        <w:t xml:space="preserve">Nasledujúce </w:t>
      </w:r>
      <w:r w:rsidR="0065443E">
        <w:rPr>
          <w:rFonts w:ascii="Calibri" w:hAnsi="Calibri"/>
          <w:sz w:val="20"/>
          <w:szCs w:val="20"/>
        </w:rPr>
        <w:t>prihlášky</w:t>
      </w:r>
      <w:r>
        <w:rPr>
          <w:rFonts w:ascii="Calibri" w:hAnsi="Calibri"/>
          <w:sz w:val="20"/>
          <w:szCs w:val="20"/>
        </w:rPr>
        <w:t xml:space="preserve"> sa považujú za neprípustné: prihlášky podané neoprávnenými osobami a subjektmi, ktoré nie sú uvedené v súbehu, prihlášky, ktoré sa netýkajú účelov uvedených v súbehu uvedených v článku 1.  pravidiel, prihlášky týkajúce sa obstarávania zariadení, investičných vkladov alebo stálych nákladov a bežných činností podávateľa prihlášky, prihlášky od podávateľov prihlášok, ktorí nepredložili správu o výdavkoch a použití pridelených finančných prostriedkov za predchádzajúci rok, alebo u ktorých sa zo správy zistí, že tieto finančné prostriedky vynaložili neúčelov</w:t>
      </w:r>
      <w:r w:rsidR="0065443E">
        <w:rPr>
          <w:rFonts w:ascii="Calibri" w:hAnsi="Calibri"/>
          <w:sz w:val="20"/>
          <w:szCs w:val="20"/>
        </w:rPr>
        <w:t>o</w:t>
      </w:r>
      <w:r>
        <w:rPr>
          <w:rFonts w:ascii="Calibri" w:hAnsi="Calibri"/>
          <w:sz w:val="20"/>
          <w:szCs w:val="20"/>
        </w:rPr>
        <w:t>, ako aj prihlášky od podávateľov prihlášok, ktorí si nesplnili svoje povinnosti v rámci predchádzajúcich súbehov sekretariátu, pokiaľ ide o predloženie fotografií alebo video materiálu ako dôkazu o realizovaných aktivitách, prihlášky od podávateľov prihlášok, ktorí nepredložili naratívnu/finančnú správu o realizácii programov/projektov z predchádzajúceho roka v stanovených termínoch, programy alebo projekty, ktorých realizáciu nie je možné uskutočniť počas aktuálneho kalendárneho alebo rozpočtového roka, prihlášky týkajúce sa obstarávania zariadení alebo údržby zariadení, ktoré slúžia na realizáciu projektu, ako aj iné kapitálové náklady.</w:t>
      </w:r>
    </w:p>
    <w:p w:rsidR="0082060E" w:rsidRPr="00146FF6" w:rsidRDefault="0082060E" w:rsidP="0082060E">
      <w:pPr>
        <w:tabs>
          <w:tab w:val="left" w:pos="810"/>
        </w:tabs>
        <w:spacing w:before="60"/>
        <w:contextualSpacing/>
        <w:jc w:val="both"/>
        <w:rPr>
          <w:rFonts w:ascii="Calibri" w:hAnsi="Calibri"/>
          <w:sz w:val="20"/>
          <w:szCs w:val="20"/>
        </w:rPr>
      </w:pPr>
    </w:p>
    <w:p w:rsidR="00AC3E3B" w:rsidRPr="00AC3E3B" w:rsidRDefault="00AC3E3B" w:rsidP="00AC3E3B">
      <w:pPr>
        <w:spacing w:before="60"/>
        <w:ind w:firstLine="708"/>
        <w:jc w:val="both"/>
        <w:rPr>
          <w:rFonts w:asciiTheme="majorHAnsi" w:hAnsiTheme="majorHAnsi" w:cstheme="majorHAnsi"/>
          <w:b/>
          <w:sz w:val="20"/>
          <w:szCs w:val="20"/>
        </w:rPr>
      </w:pPr>
      <w:r>
        <w:rPr>
          <w:rFonts w:asciiTheme="majorHAnsi" w:hAnsiTheme="majorHAnsi"/>
          <w:b/>
          <w:sz w:val="20"/>
          <w:szCs w:val="20"/>
        </w:rPr>
        <w:t xml:space="preserve">Ďalšie informácie týkajúce sa realizácie súbehu je možné získať telefonicky na čísle 021/487-4876. </w:t>
      </w:r>
    </w:p>
    <w:p w:rsidR="0082060E" w:rsidRPr="0082060E" w:rsidRDefault="0082060E" w:rsidP="0082060E">
      <w:pPr>
        <w:tabs>
          <w:tab w:val="left" w:pos="720"/>
        </w:tabs>
        <w:autoSpaceDN w:val="0"/>
        <w:jc w:val="both"/>
        <w:rPr>
          <w:rFonts w:ascii="Calibri" w:eastAsia="Calibri" w:hAnsi="Calibri" w:cs="Calibri"/>
          <w:sz w:val="20"/>
          <w:szCs w:val="20"/>
          <w:lang w:val="sr-Cyrl-RS"/>
        </w:rPr>
      </w:pP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 xml:space="preserve">V súlade s kritériami stanovenými v pravidlách a súbehu komisia zostaví poradovník </w:t>
      </w:r>
      <w:r w:rsidR="0065443E">
        <w:rPr>
          <w:rFonts w:ascii="Calibri" w:hAnsi="Calibri"/>
          <w:sz w:val="20"/>
          <w:szCs w:val="20"/>
        </w:rPr>
        <w:t xml:space="preserve">podávateľov </w:t>
      </w:r>
      <w:proofErr w:type="spellStart"/>
      <w:r w:rsidR="0065443E">
        <w:rPr>
          <w:rFonts w:ascii="Calibri" w:hAnsi="Calibri"/>
          <w:sz w:val="20"/>
          <w:szCs w:val="20"/>
        </w:rPr>
        <w:t>prihláľok</w:t>
      </w:r>
      <w:proofErr w:type="spellEnd"/>
      <w:r>
        <w:rPr>
          <w:rFonts w:ascii="Calibri" w:hAnsi="Calibri"/>
          <w:sz w:val="20"/>
          <w:szCs w:val="20"/>
        </w:rPr>
        <w:t xml:space="preserve"> v lehote, ktorá nesmie byť dlhšia ako 60 dní odo dňa uplynutia lehoty na podanie prihlášky a ktorý je zverejnený na oficiálnej webovej stránke sekretariátu.</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 xml:space="preserve">Účastníci majú právo nahliadnutia do odovzdaných prihlášok a pripojenej dokumentácie </w:t>
      </w:r>
      <w:r w:rsidR="0065443E">
        <w:rPr>
          <w:rFonts w:ascii="Calibri" w:hAnsi="Calibri"/>
          <w:sz w:val="20"/>
          <w:szCs w:val="20"/>
        </w:rPr>
        <w:t>v priebehu</w:t>
      </w:r>
      <w:r>
        <w:rPr>
          <w:rFonts w:ascii="Calibri" w:hAnsi="Calibri"/>
          <w:sz w:val="20"/>
          <w:szCs w:val="20"/>
        </w:rPr>
        <w:t xml:space="preserve"> tr</w:t>
      </w:r>
      <w:r w:rsidR="0065443E">
        <w:rPr>
          <w:rFonts w:ascii="Calibri" w:hAnsi="Calibri"/>
          <w:sz w:val="20"/>
          <w:szCs w:val="20"/>
        </w:rPr>
        <w:t>och</w:t>
      </w:r>
      <w:r>
        <w:rPr>
          <w:rFonts w:ascii="Calibri" w:hAnsi="Calibri"/>
          <w:sz w:val="20"/>
          <w:szCs w:val="20"/>
        </w:rPr>
        <w:t xml:space="preserve"> dn</w:t>
      </w:r>
      <w:r w:rsidR="0065443E">
        <w:rPr>
          <w:rFonts w:ascii="Calibri" w:hAnsi="Calibri"/>
          <w:sz w:val="20"/>
          <w:szCs w:val="20"/>
        </w:rPr>
        <w:t>í</w:t>
      </w:r>
      <w:r>
        <w:rPr>
          <w:rFonts w:ascii="Calibri" w:hAnsi="Calibri"/>
          <w:sz w:val="20"/>
          <w:szCs w:val="20"/>
        </w:rPr>
        <w:t xml:space="preserve"> po uverejnen</w:t>
      </w:r>
      <w:r w:rsidR="0065443E">
        <w:rPr>
          <w:rFonts w:ascii="Calibri" w:hAnsi="Calibri"/>
          <w:sz w:val="20"/>
          <w:szCs w:val="20"/>
        </w:rPr>
        <w:t>í</w:t>
      </w:r>
      <w:r>
        <w:rPr>
          <w:rFonts w:ascii="Calibri" w:hAnsi="Calibri"/>
          <w:sz w:val="20"/>
          <w:szCs w:val="20"/>
        </w:rPr>
        <w:t xml:space="preserve"> poradovníka.</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 xml:space="preserve">Účastníci súbehu majú právo </w:t>
      </w:r>
      <w:r w:rsidR="0065443E">
        <w:rPr>
          <w:rFonts w:ascii="Calibri" w:hAnsi="Calibri"/>
          <w:sz w:val="20"/>
          <w:szCs w:val="20"/>
        </w:rPr>
        <w:t>podať</w:t>
      </w:r>
      <w:r>
        <w:rPr>
          <w:rFonts w:ascii="Calibri" w:hAnsi="Calibri"/>
          <w:sz w:val="20"/>
          <w:szCs w:val="20"/>
        </w:rPr>
        <w:t xml:space="preserve"> námietky </w:t>
      </w:r>
      <w:r w:rsidR="0065443E">
        <w:rPr>
          <w:rFonts w:ascii="Calibri" w:hAnsi="Calibri"/>
          <w:sz w:val="20"/>
          <w:szCs w:val="20"/>
        </w:rPr>
        <w:t>na</w:t>
      </w:r>
      <w:r>
        <w:rPr>
          <w:rFonts w:ascii="Calibri" w:hAnsi="Calibri"/>
          <w:sz w:val="20"/>
          <w:szCs w:val="20"/>
        </w:rPr>
        <w:t xml:space="preserve"> poradovník uveden</w:t>
      </w:r>
      <w:r w:rsidR="0065443E">
        <w:rPr>
          <w:rFonts w:ascii="Calibri" w:hAnsi="Calibri"/>
          <w:sz w:val="20"/>
          <w:szCs w:val="20"/>
        </w:rPr>
        <w:t>ý</w:t>
      </w:r>
      <w:r>
        <w:rPr>
          <w:rFonts w:ascii="Calibri" w:hAnsi="Calibri"/>
          <w:sz w:val="20"/>
          <w:szCs w:val="20"/>
        </w:rPr>
        <w:t xml:space="preserve"> v odseku 1 do ôsmich dní odo dňa jeho zverejnenia.</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proofErr w:type="spellStart"/>
      <w:r>
        <w:rPr>
          <w:rFonts w:ascii="Calibri" w:hAnsi="Calibri"/>
          <w:sz w:val="20"/>
          <w:szCs w:val="20"/>
        </w:rPr>
        <w:t>Pokrajinský</w:t>
      </w:r>
      <w:proofErr w:type="spellEnd"/>
      <w:r>
        <w:rPr>
          <w:rFonts w:ascii="Calibri" w:hAnsi="Calibri"/>
          <w:sz w:val="20"/>
          <w:szCs w:val="20"/>
        </w:rPr>
        <w:t xml:space="preserve"> tajomník rozhodne o námietke do 15 dní odo dňa podania námietky vydaním rozhodnutia, ktoré musí byť odôvodnené.</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proofErr w:type="spellStart"/>
      <w:r>
        <w:rPr>
          <w:rFonts w:ascii="Calibri" w:hAnsi="Calibri"/>
          <w:sz w:val="20"/>
          <w:szCs w:val="20"/>
        </w:rPr>
        <w:t>Pokrajinský</w:t>
      </w:r>
      <w:proofErr w:type="spellEnd"/>
      <w:r>
        <w:rPr>
          <w:rFonts w:ascii="Calibri" w:hAnsi="Calibri"/>
          <w:sz w:val="20"/>
          <w:szCs w:val="20"/>
        </w:rPr>
        <w:t xml:space="preserve"> tajomník rozhodne o výbere programu/projektu vydaním rozhodnutia do 30 dní odo dňa uplynutia lehoty na podanie námietky.</w:t>
      </w:r>
    </w:p>
    <w:p w:rsidR="0082060E" w:rsidRPr="00372C4D" w:rsidRDefault="0082060E" w:rsidP="0082060E">
      <w:pPr>
        <w:widowControl w:val="0"/>
        <w:autoSpaceDE w:val="0"/>
        <w:autoSpaceDN w:val="0"/>
        <w:ind w:firstLine="851"/>
        <w:jc w:val="both"/>
        <w:rPr>
          <w:rFonts w:ascii="Calibri" w:eastAsia="Calibri" w:hAnsi="Calibri" w:cs="Calibri"/>
          <w:sz w:val="20"/>
          <w:szCs w:val="20"/>
        </w:rPr>
      </w:pPr>
      <w:r>
        <w:rPr>
          <w:rFonts w:ascii="Calibri" w:hAnsi="Calibri"/>
          <w:sz w:val="20"/>
          <w:szCs w:val="20"/>
        </w:rPr>
        <w:t>Rozhodnutie z odseku 5 tohto článku je konečné.</w:t>
      </w:r>
    </w:p>
    <w:p w:rsidR="00AC3E3B" w:rsidRPr="00AC3E3B" w:rsidRDefault="0082060E" w:rsidP="0065443E">
      <w:pPr>
        <w:spacing w:before="120" w:after="120"/>
        <w:ind w:firstLine="540"/>
        <w:jc w:val="both"/>
        <w:rPr>
          <w:rFonts w:asciiTheme="majorHAnsi" w:hAnsiTheme="majorHAnsi" w:cstheme="majorHAnsi"/>
          <w:sz w:val="20"/>
          <w:szCs w:val="20"/>
        </w:rPr>
      </w:pPr>
      <w:r>
        <w:rPr>
          <w:rFonts w:ascii="Calibri" w:hAnsi="Calibri"/>
          <w:sz w:val="20"/>
          <w:szCs w:val="20"/>
        </w:rPr>
        <w:t>Výsledky súbehu sa uverejňujú na webovej stránke sekretariátu.</w:t>
      </w:r>
    </w:p>
    <w:p w:rsidR="00AC3E3B" w:rsidRPr="00C53EB0" w:rsidRDefault="00AC3E3B" w:rsidP="00C53EB0">
      <w:pPr>
        <w:spacing w:before="120" w:after="120"/>
        <w:ind w:firstLine="567"/>
        <w:jc w:val="both"/>
        <w:rPr>
          <w:rFonts w:asciiTheme="majorHAnsi" w:hAnsiTheme="majorHAnsi" w:cstheme="majorHAnsi"/>
          <w:sz w:val="20"/>
          <w:szCs w:val="20"/>
        </w:rPr>
      </w:pPr>
      <w:r>
        <w:rPr>
          <w:rFonts w:asciiTheme="majorHAnsi" w:hAnsiTheme="majorHAnsi"/>
          <w:sz w:val="20"/>
          <w:szCs w:val="20"/>
        </w:rPr>
        <w:t xml:space="preserve">Ak je prihláška podpísaná osobou oprávnenou na základe </w:t>
      </w:r>
      <w:r w:rsidR="0065443E">
        <w:rPr>
          <w:rFonts w:asciiTheme="majorHAnsi" w:hAnsiTheme="majorHAnsi"/>
          <w:sz w:val="20"/>
          <w:szCs w:val="20"/>
        </w:rPr>
        <w:t>s</w:t>
      </w:r>
      <w:r>
        <w:rPr>
          <w:rFonts w:asciiTheme="majorHAnsi" w:hAnsiTheme="majorHAnsi"/>
          <w:sz w:val="20"/>
          <w:szCs w:val="20"/>
        </w:rPr>
        <w:t>plnomoc</w:t>
      </w:r>
      <w:r w:rsidR="0065443E">
        <w:rPr>
          <w:rFonts w:asciiTheme="majorHAnsi" w:hAnsiTheme="majorHAnsi"/>
          <w:sz w:val="20"/>
          <w:szCs w:val="20"/>
        </w:rPr>
        <w:t>nenia</w:t>
      </w:r>
      <w:r>
        <w:rPr>
          <w:rFonts w:asciiTheme="majorHAnsi" w:hAnsiTheme="majorHAnsi"/>
          <w:sz w:val="20"/>
          <w:szCs w:val="20"/>
        </w:rPr>
        <w:t xml:space="preserve">, je potrebné priložiť aj riadne podpísané splnomocnenie. </w:t>
      </w:r>
    </w:p>
    <w:p w:rsidR="00AC3E3B" w:rsidRPr="00AC3E3B" w:rsidRDefault="00AC3E3B" w:rsidP="00AC3E3B">
      <w:pPr>
        <w:ind w:left="-180" w:right="180" w:firstLine="747"/>
        <w:jc w:val="both"/>
        <w:rPr>
          <w:rFonts w:asciiTheme="majorHAnsi" w:hAnsiTheme="majorHAnsi" w:cstheme="majorHAnsi"/>
          <w:b/>
          <w:sz w:val="20"/>
          <w:szCs w:val="20"/>
          <w:u w:val="single"/>
          <w:lang w:val="sr-Latn-RS"/>
        </w:rPr>
      </w:pPr>
    </w:p>
    <w:p w:rsidR="00AC3E3B" w:rsidRPr="00AC3E3B" w:rsidRDefault="00AC3E3B" w:rsidP="00AC3E3B">
      <w:pPr>
        <w:ind w:left="-180" w:right="180" w:firstLine="747"/>
        <w:jc w:val="both"/>
        <w:rPr>
          <w:rFonts w:asciiTheme="majorHAnsi" w:hAnsiTheme="majorHAnsi" w:cstheme="majorHAnsi"/>
          <w:b/>
          <w:sz w:val="20"/>
          <w:szCs w:val="20"/>
          <w:u w:val="single"/>
        </w:rPr>
      </w:pPr>
      <w:r>
        <w:rPr>
          <w:rFonts w:asciiTheme="majorHAnsi" w:hAnsiTheme="majorHAnsi"/>
          <w:b/>
          <w:sz w:val="20"/>
          <w:szCs w:val="20"/>
          <w:u w:val="single"/>
        </w:rPr>
        <w:t>Lehota podávania prihlášok na súbeh je do 7. apríla 2026.</w:t>
      </w:r>
    </w:p>
    <w:p w:rsidR="00AC3E3B" w:rsidRPr="00AC3E3B" w:rsidRDefault="00AC3E3B" w:rsidP="00AC3E3B">
      <w:pPr>
        <w:ind w:left="-180" w:right="180" w:firstLine="747"/>
        <w:jc w:val="both"/>
        <w:rPr>
          <w:rFonts w:asciiTheme="majorHAnsi" w:hAnsiTheme="majorHAnsi" w:cstheme="majorHAnsi"/>
          <w:b/>
          <w:sz w:val="20"/>
          <w:szCs w:val="20"/>
          <w:u w:val="single"/>
        </w:rPr>
      </w:pPr>
    </w:p>
    <w:p w:rsidR="004C2C6C" w:rsidRPr="00372C4D" w:rsidRDefault="0065443E" w:rsidP="008064FF">
      <w:pPr>
        <w:ind w:firstLine="630"/>
        <w:jc w:val="both"/>
        <w:rPr>
          <w:rFonts w:asciiTheme="majorHAnsi" w:hAnsiTheme="majorHAnsi" w:cstheme="majorHAnsi"/>
          <w:sz w:val="20"/>
          <w:szCs w:val="20"/>
        </w:rPr>
      </w:pPr>
      <w:r>
        <w:rPr>
          <w:rFonts w:asciiTheme="majorHAnsi" w:hAnsiTheme="majorHAnsi"/>
          <w:sz w:val="20"/>
          <w:szCs w:val="20"/>
        </w:rPr>
        <w:t>Prihláška</w:t>
      </w:r>
      <w:bookmarkStart w:id="1" w:name="_GoBack"/>
      <w:bookmarkEnd w:id="1"/>
      <w:r w:rsidR="004C2C6C">
        <w:rPr>
          <w:rFonts w:asciiTheme="majorHAnsi" w:hAnsiTheme="majorHAnsi"/>
          <w:sz w:val="20"/>
          <w:szCs w:val="20"/>
        </w:rPr>
        <w:t xml:space="preserve"> sa podáva:</w:t>
      </w:r>
    </w:p>
    <w:p w:rsidR="008064FF" w:rsidRPr="00372C4D" w:rsidRDefault="008064FF" w:rsidP="008064FF">
      <w:pPr>
        <w:ind w:firstLine="630"/>
        <w:jc w:val="both"/>
        <w:rPr>
          <w:rFonts w:asciiTheme="majorHAnsi" w:hAnsiTheme="majorHAnsi" w:cstheme="majorHAnsi"/>
          <w:sz w:val="20"/>
          <w:szCs w:val="20"/>
          <w:lang w:val="sr-Cyrl-RS"/>
        </w:rPr>
      </w:pPr>
    </w:p>
    <w:p w:rsidR="004C2C6C" w:rsidRPr="00372C4D" w:rsidRDefault="004C2C6C" w:rsidP="008064FF">
      <w:pPr>
        <w:pStyle w:val="ListParagraph"/>
        <w:numPr>
          <w:ilvl w:val="0"/>
          <w:numId w:val="14"/>
        </w:numPr>
        <w:tabs>
          <w:tab w:val="left" w:pos="1080"/>
        </w:tabs>
        <w:ind w:left="900" w:hanging="450"/>
        <w:jc w:val="both"/>
        <w:rPr>
          <w:rFonts w:asciiTheme="majorHAnsi" w:hAnsiTheme="majorHAnsi" w:cstheme="majorHAnsi"/>
          <w:sz w:val="20"/>
          <w:szCs w:val="20"/>
        </w:rPr>
      </w:pPr>
      <w:r>
        <w:rPr>
          <w:rFonts w:asciiTheme="majorHAnsi" w:hAnsiTheme="majorHAnsi"/>
          <w:sz w:val="20"/>
          <w:szCs w:val="20"/>
        </w:rPr>
        <w:t xml:space="preserve">poštou na adresu: </w:t>
      </w:r>
      <w:r>
        <w:rPr>
          <w:rFonts w:asciiTheme="majorHAnsi" w:hAnsiTheme="majorHAnsi"/>
          <w:b/>
          <w:bCs/>
          <w:sz w:val="20"/>
          <w:szCs w:val="20"/>
        </w:rPr>
        <w:t xml:space="preserve">POKRAJINSKÝ SEKRETARIÁT VZDELÁVANIA, PREDPISOV, SPRÁVY A NÁRODNOSTNÝCH MENŠÍN – NÁRODNOSTNÝCH SPOLOČENSTIEV, BULVÁR MIHAJLA PUPINA 16, 21000 NOVÝ SAD s označením názvu súbehu, </w:t>
      </w:r>
      <w:r>
        <w:rPr>
          <w:rFonts w:asciiTheme="majorHAnsi" w:hAnsiTheme="majorHAnsi"/>
          <w:sz w:val="20"/>
          <w:szCs w:val="20"/>
        </w:rPr>
        <w:t xml:space="preserve"> </w:t>
      </w:r>
    </w:p>
    <w:p w:rsidR="008064FF" w:rsidRPr="00372C4D" w:rsidRDefault="008064FF" w:rsidP="008064FF">
      <w:pPr>
        <w:pStyle w:val="ListParagraph"/>
        <w:tabs>
          <w:tab w:val="left" w:pos="1080"/>
        </w:tabs>
        <w:ind w:left="900"/>
        <w:jc w:val="both"/>
        <w:rPr>
          <w:rFonts w:asciiTheme="majorHAnsi" w:hAnsiTheme="majorHAnsi" w:cstheme="majorHAnsi"/>
          <w:sz w:val="20"/>
          <w:szCs w:val="20"/>
          <w:lang w:val="en-US"/>
        </w:rPr>
      </w:pPr>
    </w:p>
    <w:p w:rsidR="008064FF" w:rsidRPr="00372C4D" w:rsidRDefault="004C2C6C" w:rsidP="008064FF">
      <w:pPr>
        <w:pStyle w:val="ListParagraph"/>
        <w:numPr>
          <w:ilvl w:val="0"/>
          <w:numId w:val="14"/>
        </w:numPr>
        <w:tabs>
          <w:tab w:val="left" w:pos="1080"/>
        </w:tabs>
        <w:ind w:left="900" w:hanging="450"/>
        <w:jc w:val="both"/>
        <w:rPr>
          <w:rFonts w:asciiTheme="majorHAnsi" w:hAnsiTheme="majorHAnsi" w:cstheme="majorHAnsi"/>
          <w:sz w:val="20"/>
          <w:szCs w:val="20"/>
        </w:rPr>
      </w:pPr>
      <w:r>
        <w:rPr>
          <w:rFonts w:asciiTheme="majorHAnsi" w:hAnsiTheme="majorHAnsi"/>
          <w:sz w:val="20"/>
          <w:szCs w:val="20"/>
        </w:rPr>
        <w:t xml:space="preserve">osobne odovzdaním na podateľni </w:t>
      </w:r>
      <w:proofErr w:type="spellStart"/>
      <w:r>
        <w:rPr>
          <w:rFonts w:asciiTheme="majorHAnsi" w:hAnsiTheme="majorHAnsi"/>
          <w:sz w:val="20"/>
          <w:szCs w:val="20"/>
        </w:rPr>
        <w:t>pokrajinských</w:t>
      </w:r>
      <w:proofErr w:type="spellEnd"/>
      <w:r>
        <w:rPr>
          <w:rFonts w:asciiTheme="majorHAnsi" w:hAnsiTheme="majorHAnsi"/>
          <w:sz w:val="20"/>
          <w:szCs w:val="20"/>
        </w:rPr>
        <w:t xml:space="preserve"> orgánov správy (na uvedenej adrese) od 9:00 do 14:00 hod. </w:t>
      </w:r>
    </w:p>
    <w:p w:rsidR="008064FF" w:rsidRPr="00372C4D" w:rsidRDefault="008064FF" w:rsidP="008064FF">
      <w:pPr>
        <w:pStyle w:val="ListParagraph"/>
        <w:rPr>
          <w:rFonts w:asciiTheme="majorHAnsi" w:hAnsiTheme="majorHAnsi" w:cstheme="majorHAnsi"/>
          <w:sz w:val="20"/>
          <w:szCs w:val="20"/>
          <w:lang w:val="en-US"/>
        </w:rPr>
      </w:pPr>
    </w:p>
    <w:p w:rsidR="00AC3E3B" w:rsidRPr="00372C4D" w:rsidRDefault="00372C4D" w:rsidP="008064FF">
      <w:pPr>
        <w:pStyle w:val="ListParagraph"/>
        <w:numPr>
          <w:ilvl w:val="0"/>
          <w:numId w:val="14"/>
        </w:numPr>
        <w:tabs>
          <w:tab w:val="left" w:pos="1080"/>
        </w:tabs>
        <w:ind w:left="900" w:hanging="450"/>
        <w:jc w:val="both"/>
        <w:rPr>
          <w:rFonts w:asciiTheme="majorHAnsi" w:hAnsiTheme="majorHAnsi" w:cstheme="majorHAnsi"/>
          <w:sz w:val="20"/>
          <w:szCs w:val="20"/>
        </w:rPr>
      </w:pPr>
      <w:r>
        <w:rPr>
          <w:rFonts w:asciiTheme="majorHAnsi" w:hAnsiTheme="majorHAnsi"/>
          <w:sz w:val="20"/>
          <w:szCs w:val="20"/>
        </w:rPr>
        <w:t>alebo prostredníctvom aplikácie sekretariátu eKonkursi.vojvodina.gov.rs, výberom zodpovedajúceho súbehu, na ktorý sa vzťahuje prihláška.</w:t>
      </w:r>
    </w:p>
    <w:p w:rsidR="00AC3E3B" w:rsidRPr="00AC3E3B" w:rsidRDefault="00AC3E3B" w:rsidP="00AC3E3B">
      <w:pPr>
        <w:ind w:left="720"/>
        <w:jc w:val="both"/>
        <w:rPr>
          <w:rFonts w:asciiTheme="majorHAnsi" w:hAnsiTheme="majorHAnsi" w:cstheme="majorHAnsi"/>
          <w:sz w:val="20"/>
          <w:szCs w:val="20"/>
        </w:rPr>
      </w:pPr>
    </w:p>
    <w:p w:rsidR="00AC3E3B" w:rsidRPr="00AC3E3B" w:rsidRDefault="00AC3E3B" w:rsidP="00AC3E3B">
      <w:pPr>
        <w:jc w:val="both"/>
        <w:rPr>
          <w:rFonts w:asciiTheme="majorHAnsi" w:eastAsia="Calibri" w:hAnsiTheme="majorHAnsi" w:cstheme="majorHAnsi"/>
          <w:sz w:val="20"/>
          <w:szCs w:val="20"/>
          <w:lang w:val="sr-Cyrl-RS"/>
        </w:rPr>
      </w:pPr>
    </w:p>
    <w:p w:rsidR="00AC3E3B" w:rsidRPr="00AC3E3B" w:rsidRDefault="00AC3E3B" w:rsidP="00AC3E3B">
      <w:pPr>
        <w:ind w:left="-180" w:right="180" w:firstLine="747"/>
        <w:jc w:val="both"/>
        <w:rPr>
          <w:rFonts w:asciiTheme="majorHAnsi" w:hAnsiTheme="majorHAnsi" w:cstheme="majorHAnsi"/>
          <w:b/>
          <w:color w:val="00B0F0"/>
          <w:sz w:val="20"/>
          <w:szCs w:val="20"/>
          <w:u w:val="single"/>
        </w:rPr>
      </w:pPr>
    </w:p>
    <w:p w:rsidR="00664892" w:rsidRPr="00AC3E3B" w:rsidRDefault="00CA2FD3">
      <w:pPr>
        <w:jc w:val="both"/>
        <w:rPr>
          <w:rFonts w:asciiTheme="majorHAnsi" w:eastAsia="Calibri" w:hAnsiTheme="majorHAnsi" w:cstheme="majorHAnsi"/>
          <w:b/>
          <w:sz w:val="20"/>
          <w:szCs w:val="20"/>
        </w:rPr>
      </w:pPr>
      <w:r>
        <w:rPr>
          <w:rFonts w:asciiTheme="majorHAnsi" w:hAnsiTheme="majorHAnsi"/>
          <w:b/>
          <w:sz w:val="20"/>
          <w:szCs w:val="20"/>
        </w:rPr>
        <w:t xml:space="preserve">                                                                                                                                                                                                                                                                                                                                                                                                                                  </w:t>
      </w:r>
    </w:p>
    <w:p w:rsidR="00664892" w:rsidRPr="00AC3E3B" w:rsidRDefault="00CA2FD3">
      <w:pPr>
        <w:tabs>
          <w:tab w:val="center" w:pos="7200"/>
        </w:tabs>
        <w:rPr>
          <w:rFonts w:asciiTheme="majorHAnsi" w:eastAsia="Calibri" w:hAnsiTheme="majorHAnsi" w:cstheme="majorHAnsi"/>
          <w:b/>
          <w:sz w:val="20"/>
          <w:szCs w:val="20"/>
        </w:rPr>
      </w:pPr>
      <w:r>
        <w:rPr>
          <w:rFonts w:asciiTheme="majorHAnsi" w:hAnsiTheme="majorHAnsi"/>
          <w:sz w:val="20"/>
          <w:szCs w:val="20"/>
        </w:rPr>
        <w:tab/>
      </w:r>
      <w:r>
        <w:rPr>
          <w:rFonts w:asciiTheme="majorHAnsi" w:hAnsiTheme="majorHAnsi"/>
          <w:b/>
          <w:sz w:val="20"/>
          <w:szCs w:val="20"/>
        </w:rPr>
        <w:t>                   POKRAJINSKÝ TAJOMNÍK</w:t>
      </w:r>
    </w:p>
    <w:p w:rsidR="00664892" w:rsidRPr="00AC3E3B" w:rsidRDefault="004004E9" w:rsidP="004004E9">
      <w:pPr>
        <w:ind w:left="5760" w:firstLine="720"/>
        <w:jc w:val="center"/>
        <w:rPr>
          <w:rFonts w:asciiTheme="majorHAnsi" w:eastAsia="Calibri" w:hAnsiTheme="majorHAnsi" w:cstheme="majorHAnsi"/>
          <w:b/>
          <w:sz w:val="20"/>
          <w:szCs w:val="20"/>
        </w:rPr>
      </w:pPr>
      <w:r>
        <w:rPr>
          <w:rFonts w:asciiTheme="majorHAnsi" w:hAnsiTheme="majorHAnsi"/>
          <w:sz w:val="20"/>
          <w:szCs w:val="20"/>
        </w:rPr>
        <w:t xml:space="preserve">Róbert </w:t>
      </w:r>
      <w:proofErr w:type="spellStart"/>
      <w:r>
        <w:rPr>
          <w:rFonts w:asciiTheme="majorHAnsi" w:hAnsiTheme="majorHAnsi"/>
          <w:sz w:val="20"/>
          <w:szCs w:val="20"/>
        </w:rPr>
        <w:t>Ótott</w:t>
      </w:r>
      <w:proofErr w:type="spellEnd"/>
    </w:p>
    <w:sectPr w:rsidR="00664892" w:rsidRPr="00AC3E3B">
      <w:pgSz w:w="11906" w:h="16838"/>
      <w:pgMar w:top="992" w:right="1440" w:bottom="964" w:left="1440" w:header="72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592"/>
    <w:multiLevelType w:val="hybridMultilevel"/>
    <w:tmpl w:val="111E1904"/>
    <w:lvl w:ilvl="0" w:tplc="B9F226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6D22B52"/>
    <w:multiLevelType w:val="hybridMultilevel"/>
    <w:tmpl w:val="34B8D3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DE763B6"/>
    <w:multiLevelType w:val="hybridMultilevel"/>
    <w:tmpl w:val="CC58C7DC"/>
    <w:lvl w:ilvl="0" w:tplc="DB2A9ABC">
      <w:start w:val="1"/>
      <w:numFmt w:val="decimal"/>
      <w:lvlText w:val="%1."/>
      <w:lvlJc w:val="left"/>
      <w:pPr>
        <w:ind w:left="540" w:hanging="360"/>
      </w:pPr>
      <w:rPr>
        <w:b/>
      </w:rPr>
    </w:lvl>
    <w:lvl w:ilvl="1" w:tplc="98EC068E">
      <w:start w:val="2"/>
      <w:numFmt w:val="bullet"/>
      <w:lvlText w:val="-"/>
      <w:lvlJc w:val="left"/>
      <w:pPr>
        <w:ind w:left="1440" w:hanging="360"/>
      </w:pPr>
      <w:rPr>
        <w:rFonts w:ascii="Calibri" w:eastAsia="Times New Roman" w:hAnsi="Calibri" w:cs="Calibr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C66A27"/>
    <w:multiLevelType w:val="hybridMultilevel"/>
    <w:tmpl w:val="42F05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D146F9"/>
    <w:multiLevelType w:val="hybridMultilevel"/>
    <w:tmpl w:val="D88E7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15:restartNumberingAfterBreak="0">
    <w:nsid w:val="42A749CB"/>
    <w:multiLevelType w:val="multilevel"/>
    <w:tmpl w:val="7636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595FB9"/>
    <w:multiLevelType w:val="hybridMultilevel"/>
    <w:tmpl w:val="24DA0552"/>
    <w:lvl w:ilvl="0" w:tplc="726CFCC2">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26D9A"/>
    <w:multiLevelType w:val="hybridMultilevel"/>
    <w:tmpl w:val="524E11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8631D33"/>
    <w:multiLevelType w:val="multilevel"/>
    <w:tmpl w:val="D312FD9C"/>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3" w15:restartNumberingAfterBreak="0">
    <w:nsid w:val="5B173E6D"/>
    <w:multiLevelType w:val="hybridMultilevel"/>
    <w:tmpl w:val="8B0A8886"/>
    <w:lvl w:ilvl="0" w:tplc="0409000F">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87B7A42"/>
    <w:multiLevelType w:val="hybridMultilevel"/>
    <w:tmpl w:val="07ACAB46"/>
    <w:lvl w:ilvl="0" w:tplc="30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746417"/>
    <w:multiLevelType w:val="hybridMultilevel"/>
    <w:tmpl w:val="0E9255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F2E0736"/>
    <w:multiLevelType w:val="multilevel"/>
    <w:tmpl w:val="9EACA606"/>
    <w:lvl w:ilvl="0">
      <w:start w:val="1"/>
      <w:numFmt w:val="decimal"/>
      <w:lvlText w:val="%1)"/>
      <w:lvlJc w:val="left"/>
      <w:pPr>
        <w:ind w:left="720" w:hanging="372"/>
      </w:p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7A043BA3"/>
    <w:multiLevelType w:val="hybridMultilevel"/>
    <w:tmpl w:val="200A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E5863"/>
    <w:multiLevelType w:val="hybridMultilevel"/>
    <w:tmpl w:val="6E2C2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16"/>
  </w:num>
  <w:num w:numId="3">
    <w:abstractNumId w:val="11"/>
  </w:num>
  <w:num w:numId="4">
    <w:abstractNumId w:val="7"/>
  </w:num>
  <w:num w:numId="5">
    <w:abstractNumId w:val="12"/>
  </w:num>
  <w:num w:numId="6">
    <w:abstractNumId w:val="1"/>
  </w:num>
  <w:num w:numId="7">
    <w:abstractNumId w:val="13"/>
  </w:num>
  <w:num w:numId="8">
    <w:abstractNumId w:val="0"/>
  </w:num>
  <w:num w:numId="9">
    <w:abstractNumId w:val="9"/>
  </w:num>
  <w:num w:numId="10">
    <w:abstractNumId w:val="3"/>
  </w:num>
  <w:num w:numId="11">
    <w:abstractNumId w:val="18"/>
  </w:num>
  <w:num w:numId="12">
    <w:abstractNumId w:val="5"/>
  </w:num>
  <w:num w:numId="13">
    <w:abstractNumId w:val="15"/>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92"/>
    <w:rsid w:val="0001380E"/>
    <w:rsid w:val="000704AB"/>
    <w:rsid w:val="0008750A"/>
    <w:rsid w:val="000A672D"/>
    <w:rsid w:val="000C4ECD"/>
    <w:rsid w:val="00146FF6"/>
    <w:rsid w:val="00232CD9"/>
    <w:rsid w:val="002B42DC"/>
    <w:rsid w:val="00372C4D"/>
    <w:rsid w:val="003C4044"/>
    <w:rsid w:val="003F32D3"/>
    <w:rsid w:val="004004E9"/>
    <w:rsid w:val="00411933"/>
    <w:rsid w:val="00466640"/>
    <w:rsid w:val="004C2C6C"/>
    <w:rsid w:val="005079AC"/>
    <w:rsid w:val="0055552E"/>
    <w:rsid w:val="00571746"/>
    <w:rsid w:val="00621288"/>
    <w:rsid w:val="00621B18"/>
    <w:rsid w:val="006509C3"/>
    <w:rsid w:val="0065443E"/>
    <w:rsid w:val="00664892"/>
    <w:rsid w:val="006B086E"/>
    <w:rsid w:val="00703587"/>
    <w:rsid w:val="008064FF"/>
    <w:rsid w:val="0082060E"/>
    <w:rsid w:val="008F529A"/>
    <w:rsid w:val="00955C75"/>
    <w:rsid w:val="00957DD0"/>
    <w:rsid w:val="0096251C"/>
    <w:rsid w:val="00AC3E3B"/>
    <w:rsid w:val="00AF4FDC"/>
    <w:rsid w:val="00C44BB7"/>
    <w:rsid w:val="00C53EB0"/>
    <w:rsid w:val="00CA2FD3"/>
    <w:rsid w:val="00D55636"/>
    <w:rsid w:val="00D63ACA"/>
    <w:rsid w:val="00D83DAF"/>
    <w:rsid w:val="00D84747"/>
    <w:rsid w:val="00DA2A3C"/>
    <w:rsid w:val="00E37E9B"/>
    <w:rsid w:val="00E418C6"/>
    <w:rsid w:val="00E67D26"/>
    <w:rsid w:val="00EC1923"/>
    <w:rsid w:val="00F53905"/>
    <w:rsid w:val="00F62099"/>
    <w:rsid w:val="00FB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9AF6"/>
  <w15:docId w15:val="{658921EC-37C4-488B-817F-8DEA6E67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004E9"/>
    <w:pPr>
      <w:ind w:left="720"/>
      <w:contextualSpacing/>
    </w:pPr>
  </w:style>
  <w:style w:type="paragraph" w:styleId="BodyText">
    <w:name w:val="Body Text"/>
    <w:basedOn w:val="Normal"/>
    <w:link w:val="BodyTextChar"/>
    <w:uiPriority w:val="99"/>
    <w:semiHidden/>
    <w:unhideWhenUsed/>
    <w:rsid w:val="000C4ECD"/>
    <w:pPr>
      <w:jc w:val="both"/>
    </w:pPr>
    <w:rPr>
      <w:rFonts w:eastAsia="Calibri"/>
      <w:szCs w:val="20"/>
    </w:rPr>
  </w:style>
  <w:style w:type="character" w:customStyle="1" w:styleId="BodyTextChar">
    <w:name w:val="Body Text Char"/>
    <w:basedOn w:val="DefaultParagraphFont"/>
    <w:link w:val="BodyText"/>
    <w:uiPriority w:val="99"/>
    <w:semiHidden/>
    <w:rsid w:val="000C4ECD"/>
    <w:rPr>
      <w:rFonts w:eastAsia="Calibri"/>
      <w:szCs w:val="20"/>
    </w:rPr>
  </w:style>
  <w:style w:type="character" w:styleId="Hyperlink">
    <w:name w:val="Hyperlink"/>
    <w:basedOn w:val="DefaultParagraphFont"/>
    <w:uiPriority w:val="99"/>
    <w:unhideWhenUsed/>
    <w:rsid w:val="00AC3E3B"/>
    <w:rPr>
      <w:color w:val="0000FF" w:themeColor="hyperlink"/>
      <w:u w:val="single"/>
    </w:rPr>
  </w:style>
  <w:style w:type="paragraph" w:styleId="BalloonText">
    <w:name w:val="Balloon Text"/>
    <w:basedOn w:val="Normal"/>
    <w:link w:val="BalloonTextChar"/>
    <w:uiPriority w:val="99"/>
    <w:semiHidden/>
    <w:unhideWhenUsed/>
    <w:rsid w:val="00DA2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3776">
      <w:bodyDiv w:val="1"/>
      <w:marLeft w:val="0"/>
      <w:marRight w:val="0"/>
      <w:marTop w:val="0"/>
      <w:marBottom w:val="0"/>
      <w:divBdr>
        <w:top w:val="none" w:sz="0" w:space="0" w:color="auto"/>
        <w:left w:val="none" w:sz="0" w:space="0" w:color="auto"/>
        <w:bottom w:val="none" w:sz="0" w:space="0" w:color="auto"/>
        <w:right w:val="none" w:sz="0" w:space="0" w:color="auto"/>
      </w:divBdr>
    </w:div>
    <w:div w:id="121000593">
      <w:bodyDiv w:val="1"/>
      <w:marLeft w:val="0"/>
      <w:marRight w:val="0"/>
      <w:marTop w:val="0"/>
      <w:marBottom w:val="0"/>
      <w:divBdr>
        <w:top w:val="none" w:sz="0" w:space="0" w:color="auto"/>
        <w:left w:val="none" w:sz="0" w:space="0" w:color="auto"/>
        <w:bottom w:val="none" w:sz="0" w:space="0" w:color="auto"/>
        <w:right w:val="none" w:sz="0" w:space="0" w:color="auto"/>
      </w:divBdr>
    </w:div>
    <w:div w:id="357779657">
      <w:bodyDiv w:val="1"/>
      <w:marLeft w:val="0"/>
      <w:marRight w:val="0"/>
      <w:marTop w:val="0"/>
      <w:marBottom w:val="0"/>
      <w:divBdr>
        <w:top w:val="none" w:sz="0" w:space="0" w:color="auto"/>
        <w:left w:val="none" w:sz="0" w:space="0" w:color="auto"/>
        <w:bottom w:val="none" w:sz="0" w:space="0" w:color="auto"/>
        <w:right w:val="none" w:sz="0" w:space="0" w:color="auto"/>
      </w:divBdr>
    </w:div>
    <w:div w:id="391585572">
      <w:bodyDiv w:val="1"/>
      <w:marLeft w:val="0"/>
      <w:marRight w:val="0"/>
      <w:marTop w:val="0"/>
      <w:marBottom w:val="0"/>
      <w:divBdr>
        <w:top w:val="none" w:sz="0" w:space="0" w:color="auto"/>
        <w:left w:val="none" w:sz="0" w:space="0" w:color="auto"/>
        <w:bottom w:val="none" w:sz="0" w:space="0" w:color="auto"/>
        <w:right w:val="none" w:sz="0" w:space="0" w:color="auto"/>
      </w:divBdr>
    </w:div>
    <w:div w:id="1205676079">
      <w:bodyDiv w:val="1"/>
      <w:marLeft w:val="0"/>
      <w:marRight w:val="0"/>
      <w:marTop w:val="0"/>
      <w:marBottom w:val="0"/>
      <w:divBdr>
        <w:top w:val="none" w:sz="0" w:space="0" w:color="auto"/>
        <w:left w:val="none" w:sz="0" w:space="0" w:color="auto"/>
        <w:bottom w:val="none" w:sz="0" w:space="0" w:color="auto"/>
        <w:right w:val="none" w:sz="0" w:space="0" w:color="auto"/>
      </w:divBdr>
    </w:div>
    <w:div w:id="1419718384">
      <w:bodyDiv w:val="1"/>
      <w:marLeft w:val="0"/>
      <w:marRight w:val="0"/>
      <w:marTop w:val="0"/>
      <w:marBottom w:val="0"/>
      <w:divBdr>
        <w:top w:val="none" w:sz="0" w:space="0" w:color="auto"/>
        <w:left w:val="none" w:sz="0" w:space="0" w:color="auto"/>
        <w:bottom w:val="none" w:sz="0" w:space="0" w:color="auto"/>
        <w:right w:val="none" w:sz="0" w:space="0" w:color="auto"/>
      </w:divBdr>
    </w:div>
    <w:div w:id="1832596500">
      <w:bodyDiv w:val="1"/>
      <w:marLeft w:val="0"/>
      <w:marRight w:val="0"/>
      <w:marTop w:val="0"/>
      <w:marBottom w:val="0"/>
      <w:divBdr>
        <w:top w:val="none" w:sz="0" w:space="0" w:color="auto"/>
        <w:left w:val="none" w:sz="0" w:space="0" w:color="auto"/>
        <w:bottom w:val="none" w:sz="0" w:space="0" w:color="auto"/>
        <w:right w:val="none" w:sz="0" w:space="0" w:color="auto"/>
      </w:divBdr>
    </w:div>
    <w:div w:id="1888907801">
      <w:bodyDiv w:val="1"/>
      <w:marLeft w:val="0"/>
      <w:marRight w:val="0"/>
      <w:marTop w:val="0"/>
      <w:marBottom w:val="0"/>
      <w:divBdr>
        <w:top w:val="none" w:sz="0" w:space="0" w:color="auto"/>
        <w:left w:val="none" w:sz="0" w:space="0" w:color="auto"/>
        <w:bottom w:val="none" w:sz="0" w:space="0" w:color="auto"/>
        <w:right w:val="none" w:sz="0" w:space="0" w:color="auto"/>
      </w:divBdr>
    </w:div>
    <w:div w:id="1904245729">
      <w:bodyDiv w:val="1"/>
      <w:marLeft w:val="0"/>
      <w:marRight w:val="0"/>
      <w:marTop w:val="0"/>
      <w:marBottom w:val="0"/>
      <w:divBdr>
        <w:top w:val="none" w:sz="0" w:space="0" w:color="auto"/>
        <w:left w:val="none" w:sz="0" w:space="0" w:color="auto"/>
        <w:bottom w:val="none" w:sz="0" w:space="0" w:color="auto"/>
        <w:right w:val="none" w:sz="0" w:space="0" w:color="auto"/>
      </w:divBdr>
    </w:div>
    <w:div w:id="208853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lida.konstantinovic@vojvodina.gov.rs" TargetMode="External"/><Relationship Id="rId3" Type="http://schemas.openxmlformats.org/officeDocument/2006/relationships/styles" Target="styles.xml"/><Relationship Id="rId7" Type="http://schemas.openxmlformats.org/officeDocument/2006/relationships/hyperlink" Target="mailto:Ounz@vojvodin&#1072;.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C49D-28D9-4813-B436-77DDB3B1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Jasna Jovanic</dc:creator>
  <cp:lastModifiedBy>Zdenka Valent</cp:lastModifiedBy>
  <cp:revision>5</cp:revision>
  <cp:lastPrinted>2026-03-02T14:43:00Z</cp:lastPrinted>
  <dcterms:created xsi:type="dcterms:W3CDTF">2026-03-02T14:48:00Z</dcterms:created>
  <dcterms:modified xsi:type="dcterms:W3CDTF">2026-03-03T13:16:00Z</dcterms:modified>
</cp:coreProperties>
</file>