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FD" w:rsidRDefault="008140FD"/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8140FD">
        <w:trPr>
          <w:trHeight w:val="1975"/>
        </w:trPr>
        <w:tc>
          <w:tcPr>
            <w:tcW w:w="2552" w:type="dxa"/>
          </w:tcPr>
          <w:p w:rsidR="008140FD" w:rsidRDefault="00C05ADA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8140FD" w:rsidRDefault="00C05ADA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Република Сербия</w:t>
            </w:r>
          </w:p>
          <w:p w:rsidR="008140FD" w:rsidRDefault="00C05AD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Автономна покраїна Войводина</w:t>
            </w:r>
          </w:p>
          <w:p w:rsidR="008140FD" w:rsidRDefault="00C05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Покраїнски секретарият за образованє, предписаня,</w:t>
            </w:r>
          </w:p>
          <w:p w:rsidR="008140FD" w:rsidRDefault="00C05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управу и национални меншини – национални заєднїци</w:t>
            </w:r>
          </w:p>
          <w:p w:rsidR="008140FD" w:rsidRDefault="00C05ADA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Булевар Михайла Пупина 16, 21000 Нови Сад</w:t>
            </w:r>
          </w:p>
          <w:p w:rsidR="008140FD" w:rsidRDefault="00C05ADA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Тел.: +381 21  487 4268,  487  46 14, 487 40 36</w:t>
            </w:r>
          </w:p>
          <w:p w:rsidR="008140FD" w:rsidRDefault="00C05ADA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Calibri" w:hAnsi="Calibri"/>
                  <w:sz w:val="22"/>
                </w:rPr>
                <w:t>ounz@vojvodinа.gov.rs</w:t>
              </w:r>
            </w:hyperlink>
          </w:p>
          <w:p w:rsidR="008140FD" w:rsidRDefault="008140FD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:rsidR="008140FD" w:rsidRDefault="00C05AD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>ПРИЯВА НА КОНКУРС</w:t>
      </w:r>
    </w:p>
    <w:p w:rsidR="008140FD" w:rsidRDefault="00C05ADA">
      <w:pPr>
        <w:jc w:val="center"/>
        <w:rPr>
          <w:rFonts w:ascii="Calibri" w:hAnsi="Calibri"/>
          <w:b/>
        </w:rPr>
      </w:pPr>
      <w:r>
        <w:rPr>
          <w:b/>
          <w:bCs/>
        </w:rPr>
        <w:t>ЗА ФИНАНСОВАНЄ</w:t>
      </w:r>
      <w:r>
        <w:t xml:space="preserve"> </w:t>
      </w:r>
      <w:r>
        <w:rPr>
          <w:b/>
          <w:bCs/>
        </w:rPr>
        <w:t>И СОФИНАНСОВАНЄ РЕКОНСТРУКЦИЇ, АДАПТАЦИЇ, САНАЦИЇ И ЧЕЧУЦE ОТРИМОВАНЄ ОБЄКТОХ УСТАНОВОХ ОСНОВНОГО, ШТРЕДНЬОГО ОБРАЗОВАНЯ И ВОСПИТАНЯ, ШКОЛЯРСК</w:t>
      </w:r>
      <w:r>
        <w:rPr>
          <w:b/>
          <w:bCs/>
        </w:rPr>
        <w:t>ОГО СТАНДАРДУ И ПРЕДШКОЛСКИХ УСТАНОВОХ И ЗА ФИНАНСОВАНЄ И СОФИНАНСОВАНЄ ВИБУДОВИ ОБЄКТОХ ШТРЕДНЬОГО ОБРАЗОВАНЯ И ВОСПИТАНЯ НА ТЕРИТОРИЇ AВТОНОМНЕЙ ПОКРАЇНИ ВОЙВОДИНИ ЗА 2026.</w:t>
      </w:r>
      <w:r>
        <w:rPr>
          <w:rFonts w:ascii="Calibri" w:hAnsi="Calibri"/>
          <w:b/>
        </w:rPr>
        <w:t xml:space="preserve"> РОК</w:t>
      </w:r>
    </w:p>
    <w:p w:rsidR="008140FD" w:rsidRDefault="008140FD">
      <w:pPr>
        <w:jc w:val="center"/>
        <w:rPr>
          <w:rFonts w:ascii="Calibri" w:hAnsi="Calibri"/>
          <w:b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8140FD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8140FD" w:rsidRDefault="00C05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8140FD" w:rsidRDefault="00C05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ПОДАТКИ О ПОДНОШИТЕЛЬОВИ ПРИЯВИ</w:t>
            </w:r>
          </w:p>
        </w:tc>
      </w:tr>
      <w:tr w:rsidR="008140FD">
        <w:trPr>
          <w:trHeight w:val="716"/>
        </w:trPr>
        <w:tc>
          <w:tcPr>
            <w:tcW w:w="3970" w:type="dxa"/>
            <w:gridSpan w:val="2"/>
            <w:vAlign w:val="center"/>
          </w:tcPr>
          <w:p w:rsidR="008140FD" w:rsidRPr="000935F9" w:rsidRDefault="00C05ADA">
            <w:pPr>
              <w:jc w:val="center"/>
              <w:rPr>
                <w:rFonts w:ascii="Calibri" w:hAnsi="Calibri" w:cs="Calibri"/>
              </w:rPr>
            </w:pPr>
            <w:r w:rsidRPr="000935F9">
              <w:rPr>
                <w:rFonts w:ascii="Calibri" w:hAnsi="Calibri" w:cs="Calibri"/>
                <w:sz w:val="22"/>
              </w:rPr>
              <w:t xml:space="preserve">Назва установи/єдинки локалней </w:t>
            </w:r>
            <w:bookmarkStart w:id="0" w:name="_GoBack"/>
            <w:bookmarkEnd w:id="0"/>
            <w:r w:rsidRPr="000935F9">
              <w:rPr>
                <w:rFonts w:ascii="Calibri" w:hAnsi="Calibri" w:cs="Calibri"/>
                <w:sz w:val="22"/>
              </w:rPr>
              <w:t>самоуправи: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140FD" w:rsidRDefault="008140FD">
            <w:pPr>
              <w:jc w:val="center"/>
              <w:rPr>
                <w:rFonts w:ascii="Calibri" w:hAnsi="Calibri"/>
                <w:lang w:val="sr-Cyrl-CS"/>
              </w:rPr>
            </w:pPr>
          </w:p>
        </w:tc>
      </w:tr>
      <w:tr w:rsidR="008140FD">
        <w:trPr>
          <w:trHeight w:val="514"/>
        </w:trPr>
        <w:tc>
          <w:tcPr>
            <w:tcW w:w="3970" w:type="dxa"/>
            <w:gridSpan w:val="2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Поштанске число, шедзиско и адреса (Улїца и число):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lang w:val="sr-Cyrl-CS"/>
              </w:rPr>
            </w:pPr>
          </w:p>
        </w:tc>
      </w:tr>
      <w:tr w:rsidR="008140FD">
        <w:trPr>
          <w:trHeight w:val="335"/>
        </w:trPr>
        <w:tc>
          <w:tcPr>
            <w:tcW w:w="3970" w:type="dxa"/>
            <w:gridSpan w:val="2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Число телефона и телефаксу: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lang w:val="sr-Cyrl-CS"/>
              </w:rPr>
            </w:pPr>
          </w:p>
        </w:tc>
      </w:tr>
      <w:tr w:rsidR="008140FD">
        <w:trPr>
          <w:trHeight w:val="371"/>
        </w:trPr>
        <w:tc>
          <w:tcPr>
            <w:tcW w:w="3970" w:type="dxa"/>
            <w:gridSpan w:val="2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Е-mail адреса: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lang w:val="sr-Cyrl-CS"/>
              </w:rPr>
            </w:pPr>
          </w:p>
        </w:tc>
      </w:tr>
      <w:tr w:rsidR="008140FD">
        <w:trPr>
          <w:trHeight w:val="317"/>
        </w:trPr>
        <w:tc>
          <w:tcPr>
            <w:tcW w:w="3970" w:type="dxa"/>
            <w:gridSpan w:val="2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Одвичательна особа установи/єдинки локалней самоуправи (директор/ предсидатель/городоначалнїк)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lang w:val="sr-Cyrl-CS"/>
              </w:rPr>
            </w:pPr>
          </w:p>
        </w:tc>
      </w:tr>
      <w:tr w:rsidR="008140FD">
        <w:trPr>
          <w:trHeight w:val="279"/>
        </w:trPr>
        <w:tc>
          <w:tcPr>
            <w:tcW w:w="3970" w:type="dxa"/>
            <w:gridSpan w:val="2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</w:rPr>
              <w:t>Число рахунку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</w:rPr>
            </w:pPr>
          </w:p>
        </w:tc>
      </w:tr>
      <w:tr w:rsidR="008140FD">
        <w:trPr>
          <w:trHeight w:val="417"/>
        </w:trPr>
        <w:tc>
          <w:tcPr>
            <w:tcW w:w="3970" w:type="dxa"/>
            <w:gridSpan w:val="2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Порцийне идентификацийне число: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:rsidR="008140FD">
        <w:trPr>
          <w:trHeight w:val="431"/>
        </w:trPr>
        <w:tc>
          <w:tcPr>
            <w:tcW w:w="3970" w:type="dxa"/>
            <w:gridSpan w:val="2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Матичне число: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:rsidR="008140FD" w:rsidRDefault="008140FD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8140FD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8140FD" w:rsidRDefault="00C05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8140FD" w:rsidRDefault="00C05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ОБЩИ ПОДАТКИ О ПРОЄКТУ</w:t>
            </w:r>
          </w:p>
        </w:tc>
      </w:tr>
      <w:tr w:rsidR="008140F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Особа задлужена за провадзенє реализациї проєкту – виводзенє роботох (мено и презвиско, адреса, контакт телефон, e-mail адреса)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8140FD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Назва и опис проєкту – опис планованих роботох 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8140FD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Значносц реализациї проєкту – виводзеня роботох, отримуюцосц и финансийна оправданосц  проєкту – роботох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8140FD">
        <w:trPr>
          <w:trHeight w:val="672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u w:val="single"/>
              </w:rPr>
              <w:t>Число и назва технїчней документациї на основи хторей ше окончи роботи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u w:val="single"/>
              </w:rPr>
              <w:t>(</w:t>
            </w:r>
            <w:r>
              <w:rPr>
                <w:rFonts w:ascii="Calibri" w:hAnsi="Calibri"/>
                <w:sz w:val="22"/>
              </w:rPr>
              <w:t xml:space="preserve">кед ше конкурує за реконструкцию, адаптацию, санацию, и инвестицийне отримованє обєктох и за вибудов), </w:t>
            </w:r>
            <w:r>
              <w:rPr>
                <w:rFonts w:ascii="Calibri" w:hAnsi="Calibri"/>
                <w:sz w:val="22"/>
                <w:u w:val="single"/>
              </w:rPr>
              <w:t xml:space="preserve">або число и датум </w:t>
            </w:r>
            <w:r>
              <w:rPr>
                <w:rFonts w:ascii="Calibri" w:hAnsi="Calibri"/>
                <w:sz w:val="22"/>
                <w:u w:val="single"/>
              </w:rPr>
              <w:lastRenderedPageBreak/>
              <w:t>предмери и предрахунку роботох</w:t>
            </w:r>
            <w:r>
              <w:rPr>
                <w:rFonts w:ascii="Calibri" w:hAnsi="Calibri"/>
                <w:sz w:val="22"/>
              </w:rPr>
              <w:t xml:space="preserve"> (кед ше конкурує за чечуце отримованє обєктох)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8140FD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lastRenderedPageBreak/>
              <w:t>Плановани период за реализацию проєкту – виводзенє роботох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8140F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u w:val="single"/>
              </w:rPr>
              <w:t>Вкупна сума</w:t>
            </w:r>
            <w:r>
              <w:rPr>
                <w:rFonts w:ascii="Calibri" w:hAnsi="Calibri"/>
                <w:sz w:val="22"/>
              </w:rPr>
              <w:t xml:space="preserve"> средствох яка потребна за реализацию проєкту – виводзенє роботох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8140F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Сума средствох яки потребни за реализацию проєкту – виводзенє роботох, </w:t>
            </w:r>
            <w:r>
              <w:rPr>
                <w:rFonts w:ascii="Calibri" w:hAnsi="Calibri"/>
                <w:sz w:val="22"/>
                <w:u w:val="single"/>
              </w:rPr>
              <w:t>яку ше вимага од Покраїнского секретарияту за образованє, предписаня, управу и национални меншини – национални заєднїци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8140F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u w:val="single"/>
              </w:rPr>
              <w:t>Сума учасци у софинансованю роботох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8140FD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8140FD" w:rsidRDefault="00C05A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Число дзецох/школярох хасновательох обєкту на хторим ше окончує роботи </w:t>
            </w:r>
          </w:p>
        </w:tc>
        <w:tc>
          <w:tcPr>
            <w:tcW w:w="5953" w:type="dxa"/>
            <w:vAlign w:val="center"/>
          </w:tcPr>
          <w:p w:rsidR="008140FD" w:rsidRDefault="008140F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8140FD" w:rsidRDefault="008140FD">
      <w:pPr>
        <w:rPr>
          <w:rFonts w:ascii="Calibri" w:hAnsi="Calibri"/>
          <w:sz w:val="8"/>
          <w:szCs w:val="8"/>
          <w:lang w:val="ru-RU"/>
        </w:rPr>
      </w:pPr>
    </w:p>
    <w:p w:rsidR="008140FD" w:rsidRDefault="008140FD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0"/>
      </w:tblGrid>
      <w:tr w:rsidR="008140FD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 xml:space="preserve">ВИЯВА </w:t>
            </w:r>
          </w:p>
        </w:tc>
      </w:tr>
    </w:tbl>
    <w:p w:rsidR="008140FD" w:rsidRDefault="00C05ADA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t>О ПРИЛАПЙОВАНЮ ОБОВЯЗКИ УСТАНОВИ ОБРАЗОВАНЯ/ЄДИНКИ ЛОКАЛНЕЙ САМОУПРАВИ У СЛУЧАЮ ЖЕ ПОКРАЇНСКИ СЕКРЕТАРИЯТ ФИНАНСИЄР АБО СОФИНАНСИЄР РОБОТИ</w:t>
      </w:r>
      <w:r>
        <w:rPr>
          <w:rFonts w:ascii="Calibri" w:hAnsi="Calibri"/>
          <w:sz w:val="22"/>
        </w:rPr>
        <w:t xml:space="preserve"> </w:t>
      </w:r>
    </w:p>
    <w:p w:rsidR="008140FD" w:rsidRDefault="00C05ADA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Одвичательна особа у установи, односно єдинки локалней самоуправи дава вияву:   </w:t>
      </w:r>
    </w:p>
    <w:p w:rsidR="008140FD" w:rsidRDefault="00C05ADA">
      <w:pPr>
        <w:pStyle w:val="ListParagraph"/>
        <w:numPr>
          <w:ilvl w:val="0"/>
          <w:numId w:val="1"/>
        </w:numPr>
        <w:spacing w:after="0"/>
        <w:jc w:val="both"/>
        <w:rPr>
          <w:rFonts w:cs="Tahoma"/>
          <w:bCs/>
        </w:rPr>
      </w:pPr>
      <w:r>
        <w:t xml:space="preserve">же ше набавку роботох реализує у складзе з одредбами Закона о планованю и вибудови («Службени глашнїк РС», число 72/09 и 81/09 – испр, 64/10 – одлука УС, 24/11, 121/12, 42/13 – одлука УС, 50/13 – одлука УС, 98/13 – одлука УС, 132/14, 145/14, 83/18, 31/19, </w:t>
      </w:r>
      <w:r>
        <w:t>37/19 – др. закон, 9/20, 52/21, 62/23 и 91/23) и  Закона о явних набавкох  («Службени глашнїк РС» число 91/19 и 92/23);</w:t>
      </w:r>
    </w:p>
    <w:p w:rsidR="008140FD" w:rsidRDefault="00C05ADA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наменково и законїто потроши додзелєни средства; </w:t>
      </w:r>
    </w:p>
    <w:p w:rsidR="008140FD" w:rsidRDefault="00C05ADA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же ше будзе притримовац Общих напрямкох Конкурсу у поглядзе виводзеня роботох;</w:t>
      </w:r>
    </w:p>
    <w:p w:rsidR="008140FD" w:rsidRDefault="00C05ADA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же ш</w:t>
      </w:r>
      <w:r>
        <w:rPr>
          <w:rFonts w:ascii="Calibri" w:hAnsi="Calibri"/>
          <w:sz w:val="22"/>
        </w:rPr>
        <w:t xml:space="preserve">е будзе притримовац шицких одредбох Контракту о додзельованю пенєжних средствох з буджету АП Войводини за 2026. рок и Упутства за реализацию спомнутого контракту; </w:t>
      </w:r>
    </w:p>
    <w:p w:rsidR="008140FD" w:rsidRDefault="00C05ADA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же поднєше звит о хаснованю средствох, найпознєйше у чаше 15 дньох од термину яки утвердзени</w:t>
      </w:r>
      <w:r>
        <w:rPr>
          <w:rFonts w:ascii="Calibri" w:hAnsi="Calibri"/>
          <w:sz w:val="22"/>
        </w:rPr>
        <w:t xml:space="preserve"> за реализацию наменки, за яку средства прияти з припадаюцу документацию хтору оверели одвичательни особи;</w:t>
      </w:r>
    </w:p>
    <w:p w:rsidR="008140FD" w:rsidRDefault="00C05ADA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же информує явносц о тим же роботи финансовал/софинансовал Покраїнски секретарият за образованє, предписаня, управу и национални меншини – национални</w:t>
      </w:r>
      <w:r>
        <w:rPr>
          <w:rFonts w:ascii="Calibri" w:hAnsi="Calibri"/>
          <w:sz w:val="22"/>
        </w:rPr>
        <w:t xml:space="preserve"> заєднїци. </w:t>
      </w:r>
    </w:p>
    <w:p w:rsidR="008140FD" w:rsidRDefault="008140FD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8140FD" w:rsidRDefault="008140FD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8140FD" w:rsidRDefault="008140FD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8140FD" w:rsidRDefault="008140FD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140FD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8140FD" w:rsidRDefault="00C05AD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Датум</w:t>
            </w:r>
          </w:p>
        </w:tc>
        <w:tc>
          <w:tcPr>
            <w:tcW w:w="2952" w:type="dxa"/>
          </w:tcPr>
          <w:p w:rsidR="008140FD" w:rsidRDefault="00C05AD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8140FD" w:rsidRDefault="00C05AD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Одвичательна особа</w:t>
            </w:r>
          </w:p>
        </w:tc>
      </w:tr>
    </w:tbl>
    <w:p w:rsidR="008140FD" w:rsidRDefault="008140FD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p w:rsidR="008140FD" w:rsidRDefault="00C05ADA">
      <w:pPr>
        <w:rPr>
          <w:rFonts w:ascii="Calibri" w:hAnsi="Calibri"/>
          <w:sz w:val="16"/>
          <w:szCs w:val="16"/>
        </w:rPr>
      </w:pPr>
      <w:r>
        <w:br w:type="page"/>
      </w:r>
    </w:p>
    <w:p w:rsidR="008140FD" w:rsidRDefault="008140FD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61"/>
      </w:tblGrid>
      <w:tr w:rsidR="008140FD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8140FD" w:rsidRDefault="00C05A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ПРИЛОГИ</w:t>
            </w:r>
          </w:p>
        </w:tc>
      </w:tr>
    </w:tbl>
    <w:p w:rsidR="008140FD" w:rsidRDefault="00C05ADA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А)  </w:t>
      </w:r>
      <w:r>
        <w:rPr>
          <w:rFonts w:ascii="Calibri" w:hAnsi="Calibri"/>
          <w:b/>
        </w:rPr>
        <w:t>ЗА ФИНАНСОВАНЄ И СОФИНАНСОВАНЄ РЕКОНСТРУКЦИЇ, АДАПТАЦИЇ, САНАЦИЇ И ИНВЕСТИЦИЙНЕ ОТРИМОВАНЄ ОБЄКТОХ</w:t>
      </w:r>
    </w:p>
    <w:p w:rsidR="008140FD" w:rsidRDefault="00C05ADA">
      <w:pPr>
        <w:pStyle w:val="ListParagraph"/>
        <w:numPr>
          <w:ilvl w:val="0"/>
          <w:numId w:val="2"/>
        </w:numPr>
        <w:spacing w:after="120"/>
        <w:jc w:val="both"/>
        <w:rPr>
          <w:b/>
        </w:rPr>
      </w:pPr>
      <w:r>
        <w:rPr>
          <w:b/>
          <w:u w:val="single"/>
        </w:rPr>
        <w:t>технїчна документация</w:t>
      </w:r>
      <w:r>
        <w:t xml:space="preserve"> на основи хторей компетентни орґан за видаванє будовательней дозволи видал ришенє о одобреню окончованю роботох (у случаю же </w:t>
      </w:r>
      <w:r>
        <w:rPr>
          <w:color w:val="000000" w:themeColor="text1"/>
          <w:u w:val="single"/>
        </w:rPr>
        <w:t xml:space="preserve">власнїк обєкту на хторим ше окончує роботи </w:t>
      </w:r>
      <w:r>
        <w:rPr>
          <w:u w:val="single"/>
        </w:rPr>
        <w:t xml:space="preserve"> АП Войводина</w:t>
      </w:r>
      <w:r>
        <w:t>, а установа нє обезпечела ришенє о одобреню окончованя роботох, тота уста</w:t>
      </w:r>
      <w:r>
        <w:t>нова подноши технїчну документацию на основи хторей, по обезпечованю согласносци за окончованє роботох з боку Покраїнскей влади, компетентни орґан вида ришенє о одобреню окончованя роботох);</w:t>
      </w:r>
    </w:p>
    <w:p w:rsidR="008140FD" w:rsidRDefault="00C05ADA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ришенє о одобреню за окончованє роботох</w:t>
      </w:r>
      <w:r>
        <w:t xml:space="preserve"> хторе видава компетентни </w:t>
      </w:r>
      <w:r>
        <w:t xml:space="preserve">орґан за видаванє будовательней дозволи (у случаю же власнїк обєкту на хторим ше окончує роботи  АП Войводини, а установи хтори нє обезпечели ришенє о одобреню за окончованє роботох, подноша </w:t>
      </w:r>
      <w:r>
        <w:rPr>
          <w:u w:val="single"/>
        </w:rPr>
        <w:t>акт компетентного орґана з яким</w:t>
      </w:r>
      <w:r>
        <w:t xml:space="preserve"> ше потвердзує же приложена технїч</w:t>
      </w:r>
      <w:r>
        <w:t>на  документация комплетна и одвитуюца, на основи хторей ше по доставаню согласносци Покраїнскей влади за окончованє роботох вида ришенє о одобреню за окончованє роботох);</w:t>
      </w:r>
    </w:p>
    <w:p w:rsidR="008140FD" w:rsidRDefault="00C05ADA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предмера и предрахунок роботох хтори подписал и оверел одвичательни проєктант (докум</w:t>
      </w:r>
      <w:r>
        <w:rPr>
          <w:b/>
          <w:bCs/>
        </w:rPr>
        <w:t>ент нє старши як шейсц мешаци з нумерованима боками, обовязно ма облапяц и датум виробку);</w:t>
      </w:r>
      <w:r>
        <w:rPr>
          <w:b/>
        </w:rPr>
        <w:t xml:space="preserve"> </w:t>
      </w:r>
    </w:p>
    <w:p w:rsidR="008140FD" w:rsidRDefault="00C05ADA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  <w:u w:val="single"/>
        </w:rPr>
        <w:t>у случаю софинансованя</w:t>
      </w:r>
      <w:r>
        <w:rPr>
          <w:b/>
          <w:bCs/>
        </w:rPr>
        <w:t xml:space="preserve"> доручиц доказ о обезпечених средствох за софинансованє роботох</w:t>
      </w:r>
      <w:r>
        <w:t xml:space="preserve"> (контракт, ришенє, вивод зоз буджету єдинки локалней самоуправи и подобне) вєд</w:t>
      </w:r>
      <w:r>
        <w:t>но зоз шорово подписану и печацовану Вияву о учасци у софинансованю предметних роботох (Вияву доручиц у шлєбодней форми).</w:t>
      </w:r>
    </w:p>
    <w:p w:rsidR="008140FD" w:rsidRDefault="00C05ADA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Б) ЗА ФИНАНСОВАНЄ И СОФИНАНСОВАНЄ ЧЕЧУЦОГО ОТРИМОВАНЯ ОБЄКТОХ</w:t>
      </w:r>
    </w:p>
    <w:p w:rsidR="008140FD" w:rsidRDefault="00C05ADA">
      <w:pPr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b/>
          <w:bCs/>
          <w:sz w:val="22"/>
        </w:rPr>
        <w:t>акт яки видал орґан цо компетентни за видаванє будовательней дозволи</w:t>
      </w:r>
      <w:r>
        <w:rPr>
          <w:sz w:val="22"/>
        </w:rPr>
        <w:t>, з яким ше потвердзує же предметнa файта роботох, у приложеней предмери и предрахунку роботох, чечуце отримованє обєкта, односно роботи за хтори ше нє видава ришенє о одобреню за окончованє роботох по Закону о планованю и вибудови («Службени</w:t>
      </w:r>
      <w:r>
        <w:rPr>
          <w:rFonts w:ascii="Calibri" w:hAnsi="Calibri"/>
          <w:sz w:val="22"/>
        </w:rPr>
        <w:t xml:space="preserve"> глашнїк РС», </w:t>
      </w:r>
      <w:r>
        <w:rPr>
          <w:rFonts w:ascii="Calibri" w:hAnsi="Calibri"/>
          <w:sz w:val="22"/>
        </w:rPr>
        <w:t>число 72/09, 81/09 – випр., 64/10 – одлука УС, 24/11, 121/12, 42/13 – одлука УС, 50/13 – одлука УС, 98/13 – одлука УС, 132/14, 145/14, 83/18, 31/19, 37/19 – др. закон, 9/20, 52/21 и 91/25);</w:t>
      </w:r>
    </w:p>
    <w:p w:rsidR="008140FD" w:rsidRDefault="00C05ADA">
      <w:pPr>
        <w:pStyle w:val="ListParagraph"/>
        <w:numPr>
          <w:ilvl w:val="0"/>
          <w:numId w:val="3"/>
        </w:numPr>
        <w:spacing w:after="120"/>
        <w:jc w:val="both"/>
      </w:pPr>
      <w:r>
        <w:rPr>
          <w:b/>
          <w:bCs/>
        </w:rPr>
        <w:t>предмера и предрахунок роботох хтори подписал и оверел одвичательн</w:t>
      </w:r>
      <w:r>
        <w:rPr>
          <w:b/>
          <w:bCs/>
        </w:rPr>
        <w:t>и проєктант (документ нє старши як шейсц мешаци з нумерованима боками, обовязно ма облапяц и датум виробку);</w:t>
      </w:r>
    </w:p>
    <w:p w:rsidR="008140FD" w:rsidRDefault="00C05ADA">
      <w:pPr>
        <w:pStyle w:val="ListParagraph"/>
        <w:numPr>
          <w:ilvl w:val="0"/>
          <w:numId w:val="3"/>
        </w:numPr>
        <w:spacing w:after="120"/>
        <w:jc w:val="both"/>
      </w:pPr>
      <w:r>
        <w:rPr>
          <w:b/>
          <w:bCs/>
          <w:u w:val="single"/>
        </w:rPr>
        <w:t>у случаю софинансованя</w:t>
      </w:r>
      <w:r>
        <w:rPr>
          <w:b/>
          <w:bCs/>
        </w:rPr>
        <w:t xml:space="preserve"> доручиц доказ о обезпечених средствох за софинансованє роботох</w:t>
      </w:r>
      <w:r>
        <w:t xml:space="preserve"> (контракт, ришенє, вивод зоз буджету єдинки локалней самоупра</w:t>
      </w:r>
      <w:r>
        <w:t>ви и подобне) вєдно зоз шорово подписану и печацовану Вияву о учасци у софинансованю предметних роботох (Вияву доручиц у шлєбодней форми).</w:t>
      </w:r>
    </w:p>
    <w:p w:rsidR="008140FD" w:rsidRDefault="00C05ADA">
      <w:pPr>
        <w:spacing w:after="120"/>
        <w:ind w:leftChars="182" w:left="797" w:hangingChars="150" w:hanging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 xml:space="preserve">В) ЗА ФИНАНСОВАНЄ И СОФИНАНСОВАНЄ ВИБУДОВИ ОБЄКТОХ ШТРЕДНЬОГО ОБРАЗОВАНЯ И ВОСПИТАНЯ </w:t>
      </w:r>
    </w:p>
    <w:p w:rsidR="008140FD" w:rsidRDefault="00C05ADA">
      <w:pPr>
        <w:pStyle w:val="ListParagraph"/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  <w:u w:val="single"/>
        </w:rPr>
        <w:t xml:space="preserve"> </w:t>
      </w:r>
      <w:r>
        <w:rPr>
          <w:b/>
          <w:bCs/>
          <w:u w:val="single"/>
        </w:rPr>
        <w:t>технїчну документацию</w:t>
      </w:r>
      <w:r>
        <w:t xml:space="preserve"> на основу хторей орґан цо є компетентни за видаванє будовательней дозволи видал будовательну дозволу (у случаю же установа нє обезпечела будовательну дозволу, подноши ше технїчну документацию на основи хторей компетентни орґан вида будовательну дозволу ке</w:t>
      </w:r>
      <w:r>
        <w:t xml:space="preserve"> ше витворя зоз законом предписани условия за тото);</w:t>
      </w:r>
    </w:p>
    <w:p w:rsidR="008140FD" w:rsidRDefault="00C05ADA">
      <w:pPr>
        <w:pStyle w:val="ListParagraph"/>
        <w:numPr>
          <w:ilvl w:val="0"/>
          <w:numId w:val="4"/>
        </w:numPr>
        <w:spacing w:after="120"/>
        <w:jc w:val="both"/>
      </w:pPr>
      <w:r>
        <w:rPr>
          <w:b/>
          <w:bCs/>
        </w:rPr>
        <w:t>будовательну дозволу хтору видава орґан цо є компетентни за видаванє будовательней дозволи</w:t>
      </w:r>
      <w:r>
        <w:t xml:space="preserve"> (установи хтори нє обезпечели будовательну дозволу, подноша </w:t>
      </w:r>
      <w:r>
        <w:rPr>
          <w:u w:val="single"/>
        </w:rPr>
        <w:t>акт компетентного орґану з яким</w:t>
      </w:r>
      <w:r>
        <w:t xml:space="preserve"> ше потвердзує же при</w:t>
      </w:r>
      <w:r>
        <w:t>ложена технїчна документация комплетна и одвитуюца, на основи хторей компетентни орґан вида будовательну дозволу кед ше за тото витворя зоз законом предписани условия);</w:t>
      </w:r>
    </w:p>
    <w:p w:rsidR="008140FD" w:rsidRDefault="00C05ADA">
      <w:pPr>
        <w:pStyle w:val="ListParagraph"/>
        <w:numPr>
          <w:ilvl w:val="0"/>
          <w:numId w:val="4"/>
        </w:numPr>
        <w:spacing w:after="120"/>
        <w:jc w:val="both"/>
      </w:pPr>
      <w:r>
        <w:rPr>
          <w:b/>
          <w:bCs/>
        </w:rPr>
        <w:lastRenderedPageBreak/>
        <w:t>предмера и предрахунок роботох хтори подписал и оверел одвичательни проєктант (документ</w:t>
      </w:r>
      <w:r>
        <w:rPr>
          <w:b/>
          <w:bCs/>
        </w:rPr>
        <w:t xml:space="preserve"> нє старши як шейсц мешаци з нумерованима боками, обовязно ма облапяц и датум виробку);</w:t>
      </w:r>
      <w:r>
        <w:rPr>
          <w:b/>
        </w:rPr>
        <w:t xml:space="preserve"> </w:t>
      </w:r>
    </w:p>
    <w:p w:rsidR="008140FD" w:rsidRDefault="00C05ADA">
      <w:pPr>
        <w:pStyle w:val="ListParagraph"/>
        <w:spacing w:after="120"/>
        <w:ind w:left="780"/>
        <w:jc w:val="both"/>
      </w:pPr>
      <w:r>
        <w:rPr>
          <w:b/>
          <w:bCs/>
        </w:rPr>
        <w:t xml:space="preserve">4. </w:t>
      </w:r>
      <w:r>
        <w:rPr>
          <w:b/>
          <w:bCs/>
          <w:u w:val="single"/>
        </w:rPr>
        <w:t>у случаю софинансованя</w:t>
      </w:r>
      <w:r>
        <w:rPr>
          <w:b/>
          <w:bCs/>
        </w:rPr>
        <w:t xml:space="preserve"> доручиц доказ о обезпечених средствох за софинансованє роботох</w:t>
      </w:r>
      <w:r>
        <w:t xml:space="preserve"> (контракт, ришенє, вивод зоз буджету єдинки локалней самоуправи и подобне) вєд</w:t>
      </w:r>
      <w:r>
        <w:t>но зоз шорово подписану и печацовану Вияву о учасци у софинансованю предметних роботох (Вияву доручиц у шлєбодней форми);</w:t>
      </w:r>
    </w:p>
    <w:p w:rsidR="008140FD" w:rsidRDefault="008140FD">
      <w:pPr>
        <w:pStyle w:val="ListParagraph"/>
        <w:spacing w:after="120"/>
        <w:ind w:left="0"/>
        <w:jc w:val="both"/>
        <w:rPr>
          <w:lang w:val="sr-Cyrl-CS"/>
        </w:rPr>
      </w:pPr>
    </w:p>
    <w:p w:rsidR="008140FD" w:rsidRDefault="008140FD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140FD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8140FD" w:rsidRDefault="00C05ADA">
            <w:pPr>
              <w:tabs>
                <w:tab w:val="left" w:pos="1455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                   Датум</w:t>
            </w:r>
          </w:p>
        </w:tc>
        <w:tc>
          <w:tcPr>
            <w:tcW w:w="2952" w:type="dxa"/>
          </w:tcPr>
          <w:p w:rsidR="008140FD" w:rsidRDefault="00C05AD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8140FD" w:rsidRDefault="00C05ADA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Одвичательна особа</w:t>
            </w:r>
          </w:p>
        </w:tc>
      </w:tr>
    </w:tbl>
    <w:p w:rsidR="008140FD" w:rsidRDefault="008140FD">
      <w:pPr>
        <w:jc w:val="both"/>
        <w:rPr>
          <w:rFonts w:ascii="Calibri" w:hAnsi="Calibri"/>
          <w:i/>
          <w:sz w:val="22"/>
          <w:szCs w:val="22"/>
          <w:lang w:val="sr-Cyrl-CS"/>
        </w:rPr>
      </w:pPr>
    </w:p>
    <w:p w:rsidR="008140FD" w:rsidRDefault="008140FD">
      <w:pPr>
        <w:rPr>
          <w:rFonts w:ascii="Calibri" w:hAnsi="Calibri"/>
          <w:sz w:val="22"/>
          <w:szCs w:val="22"/>
          <w:lang w:val="sr-Cyrl-CS"/>
        </w:rPr>
      </w:pPr>
    </w:p>
    <w:sectPr w:rsidR="008140FD">
      <w:footerReference w:type="default" r:id="rId9"/>
      <w:pgSz w:w="11907" w:h="16840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DA" w:rsidRDefault="00C05ADA">
      <w:r>
        <w:separator/>
      </w:r>
    </w:p>
  </w:endnote>
  <w:endnote w:type="continuationSeparator" w:id="0">
    <w:p w:rsidR="00C05ADA" w:rsidRDefault="00C0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</w:sdtPr>
    <w:sdtEndPr/>
    <w:sdtContent>
      <w:p w:rsidR="008140FD" w:rsidRDefault="00C05A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5F9">
          <w:rPr>
            <w:noProof/>
          </w:rPr>
          <w:t>4</w:t>
        </w:r>
        <w:r>
          <w:fldChar w:fldCharType="end"/>
        </w:r>
      </w:p>
    </w:sdtContent>
  </w:sdt>
  <w:p w:rsidR="008140FD" w:rsidRDefault="00814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DA" w:rsidRDefault="00C05ADA">
      <w:r>
        <w:separator/>
      </w:r>
    </w:p>
  </w:footnote>
  <w:footnote w:type="continuationSeparator" w:id="0">
    <w:p w:rsidR="00C05ADA" w:rsidRDefault="00C0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D1C31E"/>
    <w:multiLevelType w:val="singleLevel"/>
    <w:tmpl w:val="CBD1C31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D4F"/>
    <w:rsid w:val="00046E58"/>
    <w:rsid w:val="00082B2F"/>
    <w:rsid w:val="00090296"/>
    <w:rsid w:val="000935F9"/>
    <w:rsid w:val="000A2884"/>
    <w:rsid w:val="000B7191"/>
    <w:rsid w:val="000C1B3D"/>
    <w:rsid w:val="000C2CC7"/>
    <w:rsid w:val="000C7C6D"/>
    <w:rsid w:val="000E2DE5"/>
    <w:rsid w:val="000F34B7"/>
    <w:rsid w:val="00105CC5"/>
    <w:rsid w:val="00114A0D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4A79"/>
    <w:rsid w:val="001F7683"/>
    <w:rsid w:val="00215548"/>
    <w:rsid w:val="00252AA6"/>
    <w:rsid w:val="002636B2"/>
    <w:rsid w:val="00275680"/>
    <w:rsid w:val="0028341B"/>
    <w:rsid w:val="002924BA"/>
    <w:rsid w:val="0029338E"/>
    <w:rsid w:val="002A57F0"/>
    <w:rsid w:val="002E49A9"/>
    <w:rsid w:val="003232D5"/>
    <w:rsid w:val="00334289"/>
    <w:rsid w:val="00336A82"/>
    <w:rsid w:val="003403FB"/>
    <w:rsid w:val="003806B3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140FD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6368A"/>
    <w:rsid w:val="0097264E"/>
    <w:rsid w:val="00982F00"/>
    <w:rsid w:val="0099334C"/>
    <w:rsid w:val="009A18E0"/>
    <w:rsid w:val="009A323D"/>
    <w:rsid w:val="009B2DC9"/>
    <w:rsid w:val="009D41E5"/>
    <w:rsid w:val="009D4BA3"/>
    <w:rsid w:val="009E3C88"/>
    <w:rsid w:val="00A33BBA"/>
    <w:rsid w:val="00A33F49"/>
    <w:rsid w:val="00A37CDF"/>
    <w:rsid w:val="00A552E5"/>
    <w:rsid w:val="00A736C9"/>
    <w:rsid w:val="00A76048"/>
    <w:rsid w:val="00A8211B"/>
    <w:rsid w:val="00AA18EF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05ADA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E3BC5"/>
    <w:rsid w:val="00E229D0"/>
    <w:rsid w:val="00E25A1F"/>
    <w:rsid w:val="00E33596"/>
    <w:rsid w:val="00E46F62"/>
    <w:rsid w:val="00E55DCA"/>
    <w:rsid w:val="00E80D5D"/>
    <w:rsid w:val="00EB2A5E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0EB0510C"/>
    <w:rsid w:val="0F1239EA"/>
    <w:rsid w:val="24422AFB"/>
    <w:rsid w:val="268F6960"/>
    <w:rsid w:val="3E0865B0"/>
    <w:rsid w:val="42602A72"/>
    <w:rsid w:val="53686DC6"/>
    <w:rsid w:val="79F0006F"/>
    <w:rsid w:val="7AE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5769C52-E924-46B9-8E18-137B4229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/>
      <w:lang w:val="uk-U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/>
      <w:b/>
      <w:bCs/>
      <w:lang w:val="uk-UA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uot;mailto:ounz%40vojvodin&#1072;.gov.rs&amp;qu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Bogdan Rac</cp:lastModifiedBy>
  <cp:revision>7</cp:revision>
  <cp:lastPrinted>2024-01-25T14:33:00Z</cp:lastPrinted>
  <dcterms:created xsi:type="dcterms:W3CDTF">2025-01-28T13:33:00Z</dcterms:created>
  <dcterms:modified xsi:type="dcterms:W3CDTF">2026-03-04T10:07:00Z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168622CD2FAB465E9FAC8DEC6143DA97_13</vt:lpwstr>
  </property>
</Properties>
</file>