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A1" w:rsidRDefault="0070322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                                                                                                                         </w:t>
      </w: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3270A1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3270A1" w:rsidRDefault="0070322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3270A1" w:rsidRDefault="0070322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Република Сербия</w:t>
            </w:r>
          </w:p>
          <w:p w:rsidR="003270A1" w:rsidRDefault="0070322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Автономна покраїна Войводина</w:t>
            </w:r>
          </w:p>
          <w:p w:rsidR="003270A1" w:rsidRDefault="007032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Покраїнски секретарият за образованє, предписаня,</w:t>
            </w:r>
          </w:p>
          <w:p w:rsidR="003270A1" w:rsidRDefault="007032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управу и национални меншини – национални заєднїци</w:t>
            </w:r>
          </w:p>
          <w:p w:rsidR="003270A1" w:rsidRDefault="0070322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Булевар Михайла Пупина 16, 21000 Нови Сад</w:t>
            </w:r>
          </w:p>
          <w:p w:rsidR="003270A1" w:rsidRDefault="0070322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Тел.: +381 21  487 4268,  487  46 14, 487 40 36</w:t>
            </w:r>
          </w:p>
          <w:p w:rsidR="003270A1" w:rsidRDefault="00703223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z w:val="22"/>
              </w:rPr>
              <w:t>ounz@vojvodinа.gov.rs</w:t>
            </w:r>
          </w:p>
        </w:tc>
      </w:tr>
      <w:tr w:rsidR="003270A1">
        <w:trPr>
          <w:trHeight w:val="305"/>
        </w:trPr>
        <w:tc>
          <w:tcPr>
            <w:tcW w:w="6129" w:type="dxa"/>
            <w:gridSpan w:val="2"/>
          </w:tcPr>
          <w:p w:rsidR="003270A1" w:rsidRDefault="003270A1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  <w:p w:rsidR="003270A1" w:rsidRDefault="003270A1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  <w:p w:rsidR="003270A1" w:rsidRDefault="00703223">
            <w:pPr>
              <w:tabs>
                <w:tab w:val="center" w:pos="4703"/>
                <w:tab w:val="right" w:pos="9406"/>
              </w:tabs>
              <w:ind w:left="7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 xml:space="preserve">ЧИСЛО: 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shd w:val="clear" w:color="auto" w:fill="FFFFFF"/>
              </w:rPr>
              <w:t>000824843 2026 09427 004 001 000 001/1</w:t>
            </w:r>
          </w:p>
        </w:tc>
        <w:tc>
          <w:tcPr>
            <w:tcW w:w="5448" w:type="dxa"/>
            <w:gridSpan w:val="2"/>
          </w:tcPr>
          <w:p w:rsidR="003270A1" w:rsidRDefault="003270A1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</w:p>
          <w:p w:rsidR="003270A1" w:rsidRDefault="003270A1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</w:p>
          <w:p w:rsidR="003270A1" w:rsidRDefault="00703223">
            <w:pPr>
              <w:tabs>
                <w:tab w:val="center" w:pos="4703"/>
                <w:tab w:val="right" w:pos="9406"/>
              </w:tabs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ДАТУМ: 6.3.2026. року</w:t>
            </w:r>
          </w:p>
          <w:p w:rsidR="003270A1" w:rsidRDefault="003270A1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3270A1" w:rsidRPr="00790D74" w:rsidRDefault="00703223">
      <w:pPr>
        <w:jc w:val="both"/>
        <w:rPr>
          <w:rFonts w:ascii="Calibri" w:hAnsi="Calibri" w:cs="Calibri"/>
          <w:sz w:val="22"/>
          <w:szCs w:val="22"/>
        </w:rPr>
      </w:pPr>
      <w:r w:rsidRPr="00790D74">
        <w:rPr>
          <w:rFonts w:ascii="Calibri" w:hAnsi="Calibri" w:cs="Calibri"/>
          <w:sz w:val="22"/>
        </w:rPr>
        <w:t>На основи члена 3.</w:t>
      </w:r>
      <w:r w:rsidRPr="00790D74">
        <w:rPr>
          <w:rFonts w:ascii="Calibri" w:hAnsi="Calibri" w:cs="Calibri"/>
          <w:sz w:val="22"/>
        </w:rPr>
        <w:t xml:space="preserve"> </w:t>
      </w:r>
      <w:r w:rsidRPr="00790D74">
        <w:rPr>
          <w:rFonts w:ascii="Calibri" w:hAnsi="Calibri" w:cs="Calibri"/>
          <w:sz w:val="22"/>
        </w:rPr>
        <w:t>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реконструкциї, адаптациї, санациї, инвестицийне и чечуце отримованє обєктох</w:t>
      </w:r>
      <w:r w:rsidRPr="00790D74">
        <w:rPr>
          <w:rFonts w:ascii="Calibri" w:hAnsi="Calibri" w:cs="Calibri"/>
          <w:sz w:val="22"/>
        </w:rPr>
        <w:t xml:space="preserve"> установох основного, штреднього образованя и воспитаня, школярского стандарду и предшколских установох и за финансованє и софинансованє вибудови обєктох штреднього образованя и воспитаня на териториї Автономней покраїни Войводини, число </w:t>
      </w:r>
      <w:r w:rsidRPr="00790D74">
        <w:rPr>
          <w:rFonts w:ascii="Calibri" w:hAnsi="Calibri" w:cs="Calibri"/>
          <w:sz w:val="22"/>
          <w:shd w:val="clear" w:color="auto" w:fill="FFFFFF"/>
        </w:rPr>
        <w:t xml:space="preserve">000824843 2026 </w:t>
      </w:r>
      <w:r w:rsidRPr="00790D74">
        <w:rPr>
          <w:rFonts w:ascii="Calibri" w:hAnsi="Calibri" w:cs="Calibri"/>
          <w:sz w:val="22"/>
          <w:shd w:val="clear" w:color="auto" w:fill="FFFFFF"/>
        </w:rPr>
        <w:t>094</w:t>
      </w:r>
      <w:r w:rsidRPr="00790D74">
        <w:rPr>
          <w:rFonts w:ascii="Calibri" w:hAnsi="Calibri" w:cs="Calibri"/>
          <w:sz w:val="22"/>
          <w:shd w:val="clear" w:color="auto" w:fill="FFFFFF"/>
        </w:rPr>
        <w:t>27 004 001 000 001</w:t>
      </w:r>
      <w:r w:rsidRPr="00790D74">
        <w:rPr>
          <w:rFonts w:ascii="Calibri" w:hAnsi="Calibri" w:cs="Calibri"/>
          <w:sz w:val="22"/>
        </w:rPr>
        <w:t xml:space="preserve"> од 3.3.2026. року, а у вязи зоз Покраїнску скупштинску одлуку о буджету Автономней покраїни Войводини за 2026. рок («Службени новини АПВ», число</w:t>
      </w:r>
      <w:r w:rsidRPr="00790D74">
        <w:rPr>
          <w:rFonts w:ascii="Calibri" w:hAnsi="Calibri" w:cs="Calibri"/>
          <w:sz w:val="22"/>
        </w:rPr>
        <w:t xml:space="preserve"> 63/25), Покраїнски секретарият за образованє, предписаня, управу и национални меншини – наци</w:t>
      </w:r>
      <w:r w:rsidRPr="00790D74">
        <w:rPr>
          <w:rFonts w:ascii="Calibri" w:hAnsi="Calibri" w:cs="Calibri"/>
          <w:sz w:val="22"/>
        </w:rPr>
        <w:t xml:space="preserve">онални заєднїци (у дальшим тексту: Секретарият), розписує   </w:t>
      </w:r>
    </w:p>
    <w:p w:rsidR="003270A1" w:rsidRDefault="003270A1">
      <w:pPr>
        <w:jc w:val="both"/>
        <w:rPr>
          <w:rFonts w:ascii="Calibri" w:hAnsi="Calibri"/>
          <w:b/>
          <w:bCs/>
          <w:lang w:val="sr-Cyrl-CS"/>
        </w:rPr>
      </w:pPr>
    </w:p>
    <w:p w:rsidR="003270A1" w:rsidRDefault="0070322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КОНКУРС</w:t>
      </w:r>
    </w:p>
    <w:p w:rsidR="003270A1" w:rsidRDefault="0070322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ЗА ФИНАНСОВАНЄ И СОФИНАНСОВАНЄ РЕКОНСТРУКЦИЇ, АДАПТАЦИЇ, САНАЦИЇ, ИНВЕСТИЦИЙНЕ И ЧЕЧУЦЕ ОТРИМОВАНЄ ОБЄКТОХ УСТАНОВОХ ОСНОВНОГО, ШТРЕДНЬОГО ОБРАЗОВАНЯ И ВОСПИТАНЯ, ШКОЛЯРСКОГО СТАНДАРДУ И</w:t>
      </w:r>
      <w:r>
        <w:rPr>
          <w:rFonts w:ascii="Calibri" w:hAnsi="Calibri"/>
          <w:b/>
        </w:rPr>
        <w:t xml:space="preserve"> ПРЕДШКОЛСКИХ УСТАНОВОХ</w:t>
      </w:r>
    </w:p>
    <w:p w:rsidR="003270A1" w:rsidRDefault="0070322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И ЗА ФИНАНСОВАНЄ И СОФИНАНСОВАНЄ ВИБУДОВИ ОБЄКТОХ ШТРЕДНЬОГО ОБРАЗОВАНЯ И ВОСПИТАНЯ НА ТЕРИТОРИЇ AВТОНОМНЕЙ ПОКРАЇНИ ВОЙВОДИНИ У 2026. РОКУ</w:t>
      </w:r>
    </w:p>
    <w:p w:rsidR="003270A1" w:rsidRDefault="003270A1">
      <w:pPr>
        <w:jc w:val="center"/>
        <w:rPr>
          <w:rFonts w:ascii="Calibri" w:hAnsi="Calibri"/>
          <w:b/>
        </w:rPr>
      </w:pPr>
    </w:p>
    <w:p w:rsidR="003270A1" w:rsidRDefault="00703223">
      <w:pPr>
        <w:jc w:val="both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</w:rPr>
        <w:t>Конкурс ше розписує на суму средствох яки обезпечени зоз Покраїнску скупштинску одлуку о бу</w:t>
      </w:r>
      <w:r>
        <w:rPr>
          <w:rFonts w:ascii="Calibri" w:hAnsi="Calibri"/>
          <w:sz w:val="22"/>
        </w:rPr>
        <w:t>джету Автономней покраїни Войводини за 2026. рок («Службени новини АПВ», число 63/25) и то: за финансованє и софинансованє реконструкциї, адаптациї, санациї, инвестицийне и чечуце отримованє обєктох установох основного, штреднього образованя и воспитаня, ш</w:t>
      </w:r>
      <w:r>
        <w:rPr>
          <w:rFonts w:ascii="Calibri" w:hAnsi="Calibri"/>
          <w:sz w:val="22"/>
        </w:rPr>
        <w:t>колярского стандарду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и предшколских установох и за финансованє и софинансованє вибудови обєктох штреднього образованя и воспитаня на териториї Автономней покраїни Войводини у вкупней суми </w:t>
      </w:r>
      <w:r>
        <w:rPr>
          <w:rFonts w:ascii="Calibri" w:hAnsi="Calibri"/>
          <w:b/>
          <w:sz w:val="22"/>
        </w:rPr>
        <w:t xml:space="preserve">375.000.000,00 динари </w:t>
      </w:r>
      <w:r>
        <w:rPr>
          <w:rFonts w:ascii="Calibri" w:hAnsi="Calibri"/>
          <w:sz w:val="22"/>
        </w:rPr>
        <w:t xml:space="preserve">(на уровню основного образованя и воспитаня </w:t>
      </w:r>
      <w:r>
        <w:rPr>
          <w:rFonts w:ascii="Calibri" w:hAnsi="Calibri"/>
          <w:b/>
          <w:sz w:val="22"/>
        </w:rPr>
        <w:t>26</w:t>
      </w:r>
      <w:r>
        <w:rPr>
          <w:rFonts w:ascii="Calibri" w:hAnsi="Calibri"/>
          <w:b/>
          <w:sz w:val="22"/>
        </w:rPr>
        <w:t>0.000.000,00 динари</w:t>
      </w:r>
      <w:r>
        <w:rPr>
          <w:rFonts w:ascii="Calibri" w:hAnsi="Calibri"/>
          <w:sz w:val="22"/>
        </w:rPr>
        <w:t xml:space="preserve">, на уровню штреднього образованя и воспитаня </w:t>
      </w:r>
      <w:r>
        <w:rPr>
          <w:rFonts w:ascii="Calibri" w:hAnsi="Calibri"/>
          <w:b/>
          <w:sz w:val="22"/>
        </w:rPr>
        <w:t>75.000.000,00 динари,</w:t>
      </w:r>
      <w:r>
        <w:rPr>
          <w:rFonts w:ascii="Calibri" w:hAnsi="Calibri"/>
          <w:sz w:val="22"/>
        </w:rPr>
        <w:t xml:space="preserve"> за установи школярского стандарду </w:t>
      </w:r>
      <w:r>
        <w:rPr>
          <w:rFonts w:ascii="Calibri" w:hAnsi="Calibri"/>
          <w:b/>
          <w:sz w:val="22"/>
        </w:rPr>
        <w:t xml:space="preserve">12.000.000,00 динари </w:t>
      </w:r>
      <w:r>
        <w:rPr>
          <w:rFonts w:ascii="Calibri" w:hAnsi="Calibri"/>
          <w:sz w:val="22"/>
        </w:rPr>
        <w:t xml:space="preserve">и за предшколски установи </w:t>
      </w:r>
      <w:r>
        <w:rPr>
          <w:rFonts w:ascii="Calibri" w:hAnsi="Calibri"/>
          <w:b/>
          <w:sz w:val="22"/>
        </w:rPr>
        <w:t>28.000.000,0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</w:rPr>
        <w:t>динари</w:t>
      </w:r>
      <w:r>
        <w:rPr>
          <w:rFonts w:ascii="Calibri" w:hAnsi="Calibri"/>
          <w:sz w:val="22"/>
        </w:rPr>
        <w:t>).</w:t>
      </w:r>
      <w:r>
        <w:rPr>
          <w:rFonts w:ascii="Calibri" w:hAnsi="Calibri"/>
          <w:sz w:val="22"/>
        </w:rPr>
        <w:t xml:space="preserve"> </w:t>
      </w:r>
    </w:p>
    <w:p w:rsidR="003270A1" w:rsidRDefault="00703223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>Минимална сума средствох</w:t>
      </w:r>
      <w:r>
        <w:rPr>
          <w:rFonts w:ascii="Calibri" w:hAnsi="Calibri"/>
          <w:sz w:val="22"/>
        </w:rPr>
        <w:t xml:space="preserve"> за хтору установи основного и штреднього</w:t>
      </w:r>
      <w:r>
        <w:rPr>
          <w:rFonts w:ascii="Calibri" w:hAnsi="Calibri"/>
          <w:sz w:val="22"/>
        </w:rPr>
        <w:t xml:space="preserve"> образованя и воспитаня на териториї Автономней покраїни Войводини можу конкуровац то </w:t>
      </w:r>
      <w:r>
        <w:rPr>
          <w:rFonts w:ascii="Calibri" w:hAnsi="Calibri"/>
          <w:b/>
          <w:bCs/>
          <w:sz w:val="22"/>
          <w:u w:val="single"/>
        </w:rPr>
        <w:t>5.000.000,00 динари з урахованим ПДВ.</w:t>
      </w:r>
    </w:p>
    <w:p w:rsidR="003270A1" w:rsidRDefault="00703223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</w:rPr>
        <w:t xml:space="preserve">Минимална сума средствох при конкурованю ше </w:t>
      </w:r>
      <w:r>
        <w:rPr>
          <w:rFonts w:ascii="Calibri" w:hAnsi="Calibri"/>
          <w:b/>
          <w:sz w:val="22"/>
          <w:u w:val="single"/>
        </w:rPr>
        <w:t>нє одноши</w:t>
      </w:r>
      <w:r>
        <w:rPr>
          <w:rFonts w:ascii="Calibri" w:hAnsi="Calibri"/>
          <w:sz w:val="22"/>
          <w:u w:val="single"/>
        </w:rPr>
        <w:t xml:space="preserve"> на установи школярского стандарду и предшколски установи</w:t>
      </w:r>
      <w:r>
        <w:rPr>
          <w:rFonts w:ascii="Calibri" w:hAnsi="Calibri"/>
          <w:sz w:val="22"/>
        </w:rPr>
        <w:t xml:space="preserve"> на териториї Автономней покраїни Войводини</w:t>
      </w:r>
      <w:r>
        <w:rPr>
          <w:rFonts w:ascii="Calibri" w:hAnsi="Calibri"/>
          <w:b/>
          <w:sz w:val="22"/>
        </w:rPr>
        <w:t>.</w:t>
      </w:r>
    </w:p>
    <w:p w:rsidR="003270A1" w:rsidRDefault="00703223">
      <w:pPr>
        <w:ind w:right="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Средства ше </w:t>
      </w:r>
      <w:r>
        <w:rPr>
          <w:rFonts w:ascii="Calibri" w:hAnsi="Calibri"/>
          <w:sz w:val="22"/>
          <w:u w:val="single"/>
        </w:rPr>
        <w:t>нє додзелює</w:t>
      </w:r>
      <w:r>
        <w:rPr>
          <w:rFonts w:ascii="Calibri" w:hAnsi="Calibri"/>
          <w:sz w:val="22"/>
        </w:rPr>
        <w:t xml:space="preserve"> за роботи чийо финансованє у полней суми обезпечене з других жридлох.</w:t>
      </w:r>
    </w:p>
    <w:p w:rsidR="003270A1" w:rsidRDefault="00703223">
      <w:pPr>
        <w:ind w:right="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Финансийни обовязки ше будзе реализовац у складзе з ликвиднима можлївосцами буджету Автономней покраїни Войводини за </w:t>
      </w:r>
      <w:r>
        <w:rPr>
          <w:rFonts w:ascii="Calibri" w:hAnsi="Calibri"/>
          <w:sz w:val="22"/>
        </w:rPr>
        <w:t xml:space="preserve">2026. рок. </w:t>
      </w:r>
    </w:p>
    <w:p w:rsidR="003270A1" w:rsidRDefault="003270A1">
      <w:pPr>
        <w:jc w:val="both"/>
        <w:rPr>
          <w:rFonts w:ascii="Calibri" w:hAnsi="Calibri"/>
          <w:sz w:val="22"/>
          <w:szCs w:val="22"/>
          <w:lang w:val="sr-Cyrl-RS"/>
        </w:rPr>
      </w:pPr>
    </w:p>
    <w:p w:rsidR="003270A1" w:rsidRDefault="0070322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УСЛОВИЯ КОНКУРСУ</w:t>
      </w:r>
    </w:p>
    <w:p w:rsidR="003270A1" w:rsidRDefault="00703223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1. Подношителє прияви</w:t>
      </w:r>
    </w:p>
    <w:p w:rsidR="003270A1" w:rsidRDefault="007032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Подношителє прияви то:</w:t>
      </w:r>
    </w:p>
    <w:p w:rsidR="003270A1" w:rsidRDefault="00703223">
      <w:pPr>
        <w:pStyle w:val="ListParagraph"/>
        <w:numPr>
          <w:ilvl w:val="0"/>
          <w:numId w:val="1"/>
        </w:numPr>
        <w:jc w:val="both"/>
      </w:pPr>
      <w:r>
        <w:lastRenderedPageBreak/>
        <w:t>школи за основне образованє и воспитанє, школи за штреднє образованє и воспитанє и установи школярского стандарду на териториї Автономней Покраїни Войводини чий снователь Република Сербия, АП Войводина и єдинка локалней самоуправи;</w:t>
      </w:r>
    </w:p>
    <w:p w:rsidR="003270A1" w:rsidRDefault="00703223">
      <w:pPr>
        <w:pStyle w:val="ListParagraph"/>
        <w:numPr>
          <w:ilvl w:val="0"/>
          <w:numId w:val="1"/>
        </w:numPr>
        <w:jc w:val="both"/>
      </w:pPr>
      <w:r>
        <w:t>єдинки локалней самоупра</w:t>
      </w:r>
      <w:r>
        <w:t>ви (лєм за потреби предшколских установох) на териториї АП Войводини.</w:t>
      </w:r>
    </w:p>
    <w:p w:rsidR="003270A1" w:rsidRDefault="00703223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2. Критериюми розподзельованя средствох</w:t>
      </w:r>
    </w:p>
    <w:p w:rsidR="003270A1" w:rsidRPr="00790D74" w:rsidRDefault="00703223">
      <w:pPr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 w:rsidRPr="00790D74">
        <w:rPr>
          <w:rFonts w:ascii="Calibri" w:hAnsi="Calibri" w:cs="Calibri"/>
          <w:sz w:val="22"/>
        </w:rPr>
        <w:t xml:space="preserve">Критериюми розподзельованя средствох по Правилнїку о додзельованю буджетних средствох покраїнского секретарияту за образованє, предписаня, управу </w:t>
      </w:r>
      <w:r w:rsidRPr="00790D74">
        <w:rPr>
          <w:rFonts w:ascii="Calibri" w:hAnsi="Calibri" w:cs="Calibri"/>
          <w:sz w:val="22"/>
        </w:rPr>
        <w:t>и национални меншини – национални заєднїци за финансованє и софинансованє реконструкциї, адаптациї, санациї, инвестицийне и чечуце отримованє обєктох установох основного, штреднього образованя и воспитаня, школярского стандарду и предшколских установох и з</w:t>
      </w:r>
      <w:r w:rsidRPr="00790D74">
        <w:rPr>
          <w:rFonts w:ascii="Calibri" w:hAnsi="Calibri" w:cs="Calibri"/>
          <w:sz w:val="22"/>
        </w:rPr>
        <w:t>а финансованє и софинансованє вибудови обєктох штреднього образованя и воспитаня на териториї Аутономней покраїни Войводини тоти:</w:t>
      </w:r>
    </w:p>
    <w:p w:rsidR="003270A1" w:rsidRDefault="00703223">
      <w:pPr>
        <w:pStyle w:val="ListParagraph"/>
        <w:numPr>
          <w:ilvl w:val="0"/>
          <w:numId w:val="2"/>
        </w:numPr>
        <w:spacing w:after="0"/>
        <w:ind w:left="360"/>
        <w:jc w:val="both"/>
        <w:rPr>
          <w:caps/>
          <w:strike/>
        </w:rPr>
      </w:pPr>
      <w:r w:rsidRPr="00790D74">
        <w:rPr>
          <w:rFonts w:cs="Calibri"/>
        </w:rPr>
        <w:t>значносц реализациї проєкту</w:t>
      </w:r>
      <w:r>
        <w:rPr>
          <w:rFonts w:asciiTheme="minorHAnsi" w:hAnsiTheme="minorHAnsi"/>
        </w:rPr>
        <w:t xml:space="preserve"> у одношеню на безпечносц и здравє дзецох/школярох, наставнїкох и занятих хтори хасную обєкти,</w:t>
      </w:r>
    </w:p>
    <w:p w:rsidR="003270A1" w:rsidRDefault="0070322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знач</w:t>
      </w:r>
      <w:r>
        <w:rPr>
          <w:rFonts w:asciiTheme="minorHAnsi" w:hAnsiTheme="minorHAnsi"/>
          <w:sz w:val="22"/>
        </w:rPr>
        <w:t>носц реализациї проєкту у одношеню на дзвиганє квалитету и модернизациї окончованя воспитно-образовней роботи и условийох за пребуванє дзецох/школярох и занятих,</w:t>
      </w:r>
    </w:p>
    <w:p w:rsidR="003270A1" w:rsidRDefault="0070322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значносц реализациї проєкта у одношеню на злєпшанє енерґетскей ефикасносци обєктох, односно за</w:t>
      </w:r>
      <w:r>
        <w:rPr>
          <w:rFonts w:asciiTheme="minorHAnsi" w:hAnsiTheme="minorHAnsi"/>
          <w:sz w:val="22"/>
        </w:rPr>
        <w:t>шпорованє горива за зогриванє обєктох;</w:t>
      </w:r>
    </w:p>
    <w:p w:rsidR="003270A1" w:rsidRDefault="0070322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финансийна оправданосц проєкта,</w:t>
      </w:r>
    </w:p>
    <w:p w:rsidR="003270A1" w:rsidRDefault="0070322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иснованє других жридлох финансованя – софинансованє реализациї проєкту,</w:t>
      </w:r>
    </w:p>
    <w:p w:rsidR="003270A1" w:rsidRDefault="0070322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отримуюцосц – длуготирвацосц ефекту злєпшаня условийох хаснованя обєкту по реализациї проєкту,</w:t>
      </w:r>
    </w:p>
    <w:p w:rsidR="003270A1" w:rsidRDefault="0070322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активносци хтори п</w:t>
      </w:r>
      <w:r>
        <w:rPr>
          <w:rFonts w:asciiTheme="minorHAnsi" w:hAnsiTheme="minorHAnsi"/>
          <w:sz w:val="22"/>
        </w:rPr>
        <w:t>одняти з цильом реализациї проєкту,</w:t>
      </w:r>
    </w:p>
    <w:p w:rsidR="003270A1" w:rsidRDefault="0070322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ступень розвитосци єдинки локалней самоуправи на чиєй ше териториї находзи установа образованя.</w:t>
      </w:r>
    </w:p>
    <w:p w:rsidR="003270A1" w:rsidRDefault="00703223">
      <w:pPr>
        <w:ind w:left="1080"/>
        <w:contextualSpacing/>
        <w:rPr>
          <w:caps/>
          <w:strike/>
        </w:rPr>
      </w:pPr>
      <w:r>
        <w:rPr>
          <w:rFonts w:asciiTheme="minorHAnsi" w:hAnsiTheme="minorHAnsi"/>
          <w:sz w:val="22"/>
        </w:rPr>
        <w:t xml:space="preserve">  </w:t>
      </w:r>
    </w:p>
    <w:p w:rsidR="003270A1" w:rsidRDefault="0070322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ОБЩИ НАПРЯМКИ КОНКУРСА</w:t>
      </w:r>
    </w:p>
    <w:p w:rsidR="003270A1" w:rsidRDefault="00703223">
      <w:pPr>
        <w:pStyle w:val="BodyText"/>
        <w:ind w:firstLine="3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Кед тото технїчно можлїве, проєкт реализовац на вецей нєзависни фази воводзеня роботох, подношител</w:t>
      </w:r>
      <w:r>
        <w:rPr>
          <w:rFonts w:ascii="Calibri" w:hAnsi="Calibri"/>
          <w:sz w:val="22"/>
        </w:rPr>
        <w:t>ь прияви треба же би поднєсол прияву з ясно наведзенима фазами за виводзенє роботох и назначенима финансийнима средствами за шицки фази.</w:t>
      </w:r>
    </w:p>
    <w:p w:rsidR="003270A1" w:rsidRDefault="00703223">
      <w:pPr>
        <w:pStyle w:val="BodyText"/>
        <w:ind w:firstLine="34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Приложена предмера и предрахунок роботох маю облапиц прецизно утвердзене количество роботох и тарґовищни цени, бо ше средства подношительови прияви буду преношиц у складзе зоз запровадзеним поступком набавки у складзе зоз Законом о явних набавкох (а найвец</w:t>
      </w:r>
      <w:r>
        <w:rPr>
          <w:rFonts w:ascii="Calibri" w:hAnsi="Calibri"/>
          <w:sz w:val="22"/>
        </w:rPr>
        <w:t xml:space="preserve">ей по одобрену суму). Звишок роботох и нєпредвидзени роботи Секретарият нє годзен финансовац. </w:t>
      </w:r>
    </w:p>
    <w:p w:rsidR="003270A1" w:rsidRDefault="00703223">
      <w:pPr>
        <w:pStyle w:val="BodyText"/>
        <w:ind w:firstLine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 Подношитель прияви хтори за одредзени проєкт конкуровал и на других местох, ма право поднєсц прияву и на предметни конкурс кед у моменту подношеня прияви нє мал</w:t>
      </w:r>
      <w:r>
        <w:rPr>
          <w:rFonts w:ascii="Calibri" w:hAnsi="Calibri"/>
          <w:sz w:val="22"/>
        </w:rPr>
        <w:t>, анї нє могол мац спознанє о тим же чи му одобрени средства по другим конкурсу за предметни проєкт.</w:t>
      </w:r>
    </w:p>
    <w:p w:rsidR="003270A1" w:rsidRDefault="00703223">
      <w:pPr>
        <w:ind w:firstLine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У случаю подношеня прияви зоз софинансованьом роботох, средства хтори обезпечени на мено учасци установи можу буц власни, з донацийох и з буджету шицких ур</w:t>
      </w:r>
      <w:r>
        <w:rPr>
          <w:rFonts w:asciiTheme="minorHAnsi" w:hAnsiTheme="minorHAnsi"/>
          <w:sz w:val="22"/>
        </w:rPr>
        <w:t xml:space="preserve">овньох власци. </w:t>
      </w:r>
    </w:p>
    <w:p w:rsidR="003270A1" w:rsidRDefault="003270A1">
      <w:pPr>
        <w:ind w:firstLine="284"/>
        <w:jc w:val="both"/>
        <w:rPr>
          <w:rFonts w:asciiTheme="minorHAnsi" w:hAnsiTheme="minorHAnsi"/>
          <w:b/>
          <w:sz w:val="22"/>
          <w:szCs w:val="22"/>
          <w:lang w:val="sr-Cyrl-RS"/>
        </w:rPr>
      </w:pPr>
    </w:p>
    <w:p w:rsidR="003270A1" w:rsidRDefault="00703223">
      <w:pPr>
        <w:pStyle w:val="BodyText"/>
        <w:ind w:firstLine="34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u w:val="single"/>
        </w:rPr>
        <w:t>По додзельованю средствох по Конкурсу, хаснователь длужен:</w:t>
      </w:r>
    </w:p>
    <w:p w:rsidR="003270A1" w:rsidRDefault="0070322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подписац контракт о додзельованю буджетних средствох зоз Покраїнским секретариятом за образованє, предписаня, управу и национални меншини ‒ национални заєднїци (у дальшим тексту: </w:t>
      </w:r>
      <w:r>
        <w:rPr>
          <w:rFonts w:ascii="Calibri" w:hAnsi="Calibri"/>
          <w:sz w:val="22"/>
        </w:rPr>
        <w:t>Секретарият), з яким ше реґулує медзисобни права и обовязки контрактових бокох;</w:t>
      </w:r>
    </w:p>
    <w:p w:rsidR="003270A1" w:rsidRDefault="0070322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запровадзиц одвитуюци поступок набавки у складзе зоз Законом о явних набавкох («Сл. глашнїк РС», число 91/19 и 92/23);</w:t>
      </w:r>
    </w:p>
    <w:p w:rsidR="003270A1" w:rsidRDefault="0070322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анґажовац нєзависну особу як фахови надпатрунок над вивод</w:t>
      </w:r>
      <w:r>
        <w:rPr>
          <w:rFonts w:ascii="Calibri" w:hAnsi="Calibri"/>
          <w:sz w:val="22"/>
        </w:rPr>
        <w:t>зеньом предметних роботох;</w:t>
      </w:r>
    </w:p>
    <w:p w:rsidR="003270A1" w:rsidRDefault="0070322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у шицким ше притримовац Упутства за реализацию контракту о додзельованю пенєжних средствох з буджету АП Войводини за 2026. рок.</w:t>
      </w:r>
    </w:p>
    <w:p w:rsidR="003270A1" w:rsidRDefault="003270A1">
      <w:pPr>
        <w:pStyle w:val="BodyText"/>
        <w:ind w:firstLine="340"/>
        <w:rPr>
          <w:rFonts w:ascii="Calibri" w:hAnsi="Calibri" w:cs="Arial"/>
          <w:sz w:val="22"/>
          <w:szCs w:val="22"/>
          <w:lang w:val="sr-Cyrl-RS"/>
        </w:rPr>
      </w:pPr>
    </w:p>
    <w:p w:rsidR="003270A1" w:rsidRDefault="00703223" w:rsidP="00790D74">
      <w:pPr>
        <w:rPr>
          <w:rFonts w:ascii="Calibri" w:hAnsi="Calibri"/>
          <w:b/>
          <w:sz w:val="22"/>
          <w:szCs w:val="22"/>
        </w:rPr>
      </w:pPr>
      <w:r>
        <w:br w:type="page"/>
      </w:r>
      <w:r>
        <w:rPr>
          <w:rFonts w:ascii="Calibri" w:hAnsi="Calibri"/>
          <w:b/>
          <w:sz w:val="22"/>
        </w:rPr>
        <w:lastRenderedPageBreak/>
        <w:t>СПОСОБ ПОДНОШЕНЯ ВИМАГАНЯ</w:t>
      </w:r>
    </w:p>
    <w:p w:rsidR="003270A1" w:rsidRDefault="00703223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</w:rPr>
        <w:t xml:space="preserve">Вимаганя за додзельованє средствох ше подноши на єдинственим конкурсним </w:t>
      </w:r>
      <w:r>
        <w:rPr>
          <w:rFonts w:ascii="Calibri" w:hAnsi="Calibri"/>
          <w:sz w:val="22"/>
        </w:rPr>
        <w:t xml:space="preserve">формуларе Секретарияту. </w:t>
      </w:r>
      <w:r>
        <w:t>Комплетну конкурсну документацию мож превжац од</w:t>
      </w:r>
      <w:r>
        <w:t xml:space="preserve"> </w:t>
      </w:r>
      <w:r>
        <w:rPr>
          <w:b/>
          <w:u w:val="single"/>
        </w:rPr>
        <w:t>6.3.2026. року</w:t>
      </w:r>
      <w:r>
        <w:t xml:space="preserve"> на Web адреси Секретарияту </w:t>
      </w:r>
      <w:hyperlink r:id="rId7" w:history="1">
        <w:r>
          <w:rPr>
            <w:rStyle w:val="Hyperlink"/>
            <w:rFonts w:ascii="Calibri" w:hAnsi="Calibri"/>
            <w:b/>
            <w:sz w:val="22"/>
          </w:rPr>
          <w:t>www.puma.vojvodina.gov.rs</w:t>
        </w:r>
      </w:hyperlink>
    </w:p>
    <w:p w:rsidR="003270A1" w:rsidRDefault="003270A1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  <w:lang w:val="ru-RU"/>
        </w:rPr>
      </w:pPr>
    </w:p>
    <w:p w:rsidR="003270A1" w:rsidRDefault="007032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Вимаганя ше подноши:</w:t>
      </w:r>
    </w:p>
    <w:p w:rsidR="003270A1" w:rsidRDefault="007032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- по пошти на адресу: ПОКРАЇНСКИ СЕ</w:t>
      </w:r>
      <w:r>
        <w:rPr>
          <w:rFonts w:ascii="Calibri" w:hAnsi="Calibri"/>
          <w:sz w:val="22"/>
        </w:rPr>
        <w:t>КРЕТАРИЯТ ЗА ОБРАЗОВАНЄ, ПРЕДПИСАНЯ, УПРАВУ И НАЦИОНАЛНИ МЕНШИНИ – НАЦИОНАЛНИ ЗАЄДНЇЦИ, БУЛЕВАР МИХАЙЛА ПУПИНА 16, 21000 НОВИ САД, з назначеньом назви конкурсу:</w:t>
      </w:r>
    </w:p>
    <w:p w:rsidR="003270A1" w:rsidRDefault="007032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- особнє з придаваньом писарнїци покраїнских орґанох управи (на наведзену адресу) у чаше од 9,00 до 14,00 годзин </w:t>
      </w:r>
    </w:p>
    <w:p w:rsidR="003270A1" w:rsidRDefault="007032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- або прейґ апликациї Секретарияту eKonkursi.vojvodina.gov.rs и вибором одвитуюцого явного конкурсу на хтори ше одноши приява.</w:t>
      </w:r>
    </w:p>
    <w:p w:rsidR="003270A1" w:rsidRDefault="003270A1">
      <w:pPr>
        <w:jc w:val="both"/>
        <w:rPr>
          <w:rFonts w:ascii="Calibri" w:hAnsi="Calibri"/>
          <w:sz w:val="22"/>
          <w:szCs w:val="22"/>
          <w:lang w:val="sr-Cyrl-RS"/>
        </w:rPr>
      </w:pPr>
    </w:p>
    <w:p w:rsidR="003270A1" w:rsidRDefault="00703223">
      <w:pPr>
        <w:ind w:firstLine="708"/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>У случаю перши</w:t>
      </w:r>
      <w:r>
        <w:rPr>
          <w:rFonts w:ascii="Calibri" w:hAnsi="Calibri"/>
          <w:sz w:val="22"/>
          <w:u w:val="single"/>
        </w:rPr>
        <w:t>х 2 способох подношеня вимаганя прияву ше подноши у друкованей форми (шорово виполнєну и подписану од одвичательней особи), а шицки прилоги ґу прияви ше доручи ЛЄМ У ЕЛЕКТРОНСКЕЙ ФОРМИ на УСБ або ЦД.</w:t>
      </w:r>
    </w:p>
    <w:p w:rsidR="003270A1" w:rsidRDefault="003270A1">
      <w:pPr>
        <w:spacing w:after="120"/>
        <w:jc w:val="both"/>
        <w:rPr>
          <w:rFonts w:ascii="Calibri" w:hAnsi="Calibri"/>
          <w:b/>
          <w:sz w:val="22"/>
          <w:szCs w:val="22"/>
          <w:u w:val="single"/>
          <w:lang w:val="sr-Latn-RS"/>
        </w:rPr>
      </w:pPr>
    </w:p>
    <w:p w:rsidR="003270A1" w:rsidRDefault="00703223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Ґу прияви на конкурс ше приклада</w:t>
      </w:r>
      <w:r>
        <w:rPr>
          <w:rFonts w:ascii="Calibri" w:hAnsi="Calibri"/>
          <w:b/>
          <w:sz w:val="22"/>
        </w:rPr>
        <w:t>:</w:t>
      </w:r>
    </w:p>
    <w:p w:rsidR="003270A1" w:rsidRDefault="00703223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А)  </w:t>
      </w:r>
      <w:r>
        <w:rPr>
          <w:rFonts w:ascii="Calibri" w:hAnsi="Calibri"/>
          <w:b/>
        </w:rPr>
        <w:t xml:space="preserve">ЗА ФИНАНСОВАНЄ И </w:t>
      </w:r>
      <w:r>
        <w:rPr>
          <w:rFonts w:ascii="Calibri" w:hAnsi="Calibri"/>
          <w:b/>
        </w:rPr>
        <w:t>СОФИНАНСОВАНЄ РЕКОНСТРУКЦИЇ, АДАПТАЦИЇ, САНАЦИЇ И ИНВЕСТИЦИЙНЕ ОТРИМОВАНЄ ОБЄКТОХ</w:t>
      </w:r>
    </w:p>
    <w:p w:rsidR="003270A1" w:rsidRDefault="00703223">
      <w:pPr>
        <w:pStyle w:val="ListParagraph"/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  <w:u w:val="single"/>
        </w:rPr>
        <w:t>технїчна документация</w:t>
      </w:r>
      <w:r>
        <w:t xml:space="preserve"> на основи хторей компетентни орґан за видаванє будовательней дозволи видал ришенє о одобреню окончованю роботох (у случаю же </w:t>
      </w:r>
      <w:r>
        <w:rPr>
          <w:color w:val="000000" w:themeColor="text1"/>
          <w:u w:val="single"/>
        </w:rPr>
        <w:t>власнїк обєкту на хторим ше</w:t>
      </w:r>
      <w:r>
        <w:rPr>
          <w:color w:val="000000" w:themeColor="text1"/>
          <w:u w:val="single"/>
        </w:rPr>
        <w:t xml:space="preserve"> окончує роботи </w:t>
      </w:r>
      <w:r>
        <w:rPr>
          <w:u w:val="single"/>
        </w:rPr>
        <w:t xml:space="preserve"> АП Войводина</w:t>
      </w:r>
      <w:r>
        <w:t>, а установа нє обезпечела ришенє о одобреню окончованя роботох, тота установа подноши технїчну документацию на основи хторей, по обезпечованю согласносци за окончованє роботох з боку Покраїнскей влади, компетентни орґан вида р</w:t>
      </w:r>
      <w:r>
        <w:t>ишенє о одобреню окончованя роботох);</w:t>
      </w:r>
    </w:p>
    <w:p w:rsidR="003270A1" w:rsidRDefault="00703223">
      <w:pPr>
        <w:pStyle w:val="ListParagraph"/>
        <w:numPr>
          <w:ilvl w:val="0"/>
          <w:numId w:val="4"/>
        </w:numPr>
        <w:spacing w:after="120"/>
        <w:jc w:val="both"/>
      </w:pPr>
      <w:r>
        <w:rPr>
          <w:b/>
          <w:bCs/>
        </w:rPr>
        <w:t>ришенє о одобреню за окончованє роботох</w:t>
      </w:r>
      <w:r>
        <w:t xml:space="preserve"> хторе видава компетентни орґан за видаванє будовательней дозволи (у случаю же власнїк обєкту на хторим ше окончує роботи  АП Войводини, а установи хтори нє обезпечели ришенє о одобреню за окончованє роботох, подноша </w:t>
      </w:r>
      <w:r>
        <w:rPr>
          <w:u w:val="single"/>
        </w:rPr>
        <w:t>акт компетентного орґана з яким</w:t>
      </w:r>
      <w:r>
        <w:t xml:space="preserve"> ше потв</w:t>
      </w:r>
      <w:r>
        <w:t>ердзує же приложена технїчна  документация комплетна и одвитуюца, на основи хторей ше по доставаню согласносци Покраїнскей влади за окончованє роботох вида ришенє о одобреню за окончованє роботох);</w:t>
      </w:r>
    </w:p>
    <w:p w:rsidR="003270A1" w:rsidRDefault="00703223">
      <w:pPr>
        <w:pStyle w:val="ListParagraph"/>
        <w:numPr>
          <w:ilvl w:val="0"/>
          <w:numId w:val="4"/>
        </w:numPr>
        <w:spacing w:after="120"/>
        <w:jc w:val="both"/>
      </w:pPr>
      <w:r>
        <w:rPr>
          <w:b/>
          <w:bCs/>
        </w:rPr>
        <w:t>предмера и предрахунок роботох хтори подписал и оверел одв</w:t>
      </w:r>
      <w:r>
        <w:rPr>
          <w:b/>
          <w:bCs/>
        </w:rPr>
        <w:t>ичательни проєктант (документ нє старши як шейсц мешаци з нумерованима боками, обовязно ма облапяц и датум виробку);</w:t>
      </w:r>
      <w:r>
        <w:rPr>
          <w:b/>
        </w:rPr>
        <w:t xml:space="preserve"> </w:t>
      </w:r>
    </w:p>
    <w:p w:rsidR="003270A1" w:rsidRDefault="00703223">
      <w:pPr>
        <w:pStyle w:val="ListParagraph"/>
        <w:numPr>
          <w:ilvl w:val="0"/>
          <w:numId w:val="4"/>
        </w:numPr>
        <w:spacing w:after="120"/>
        <w:jc w:val="both"/>
      </w:pPr>
      <w:r>
        <w:rPr>
          <w:b/>
          <w:bCs/>
          <w:u w:val="single"/>
        </w:rPr>
        <w:t>у случаю софинансованя</w:t>
      </w:r>
      <w:r>
        <w:rPr>
          <w:b/>
          <w:bCs/>
        </w:rPr>
        <w:t xml:space="preserve"> доручиц доказ о обезпечених средствох за софинансованє роботох</w:t>
      </w:r>
      <w:r>
        <w:t xml:space="preserve"> (контракт, ришенє, вивод зоз буджету єдинки локалней самоуправи и подобне) вєдно зоз шорово подписану и печацовану Вияву о учасци у софинансованю предметних роботох (Вияву доручиц у шлєбодней форми).</w:t>
      </w:r>
    </w:p>
    <w:p w:rsidR="003270A1" w:rsidRDefault="00703223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Б) ЗА ФИНАНСОВАНЄ И СОФИНАНСОВАНЄ ЧЕЧУЦОГО ОТРИМОВАНЯ О</w:t>
      </w:r>
      <w:r>
        <w:rPr>
          <w:rFonts w:asciiTheme="minorHAnsi" w:hAnsiTheme="minorHAnsi"/>
          <w:b/>
        </w:rPr>
        <w:t>БЄКТОХ</w:t>
      </w:r>
    </w:p>
    <w:p w:rsidR="003270A1" w:rsidRDefault="00703223">
      <w:pPr>
        <w:numPr>
          <w:ilvl w:val="0"/>
          <w:numId w:val="5"/>
        </w:numPr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b/>
          <w:bCs/>
          <w:sz w:val="22"/>
        </w:rPr>
        <w:t>акт яки видал орґан цо компетентни за видаванє будовательней дозволи</w:t>
      </w:r>
      <w:r>
        <w:rPr>
          <w:sz w:val="22"/>
        </w:rPr>
        <w:t>, з яким ше потвердзує же предметнa файта роботох, у приложеней предмери и предрахунку роботох, чечуце отримованє обєкта, односно роботи за хтори ше нє видава ришенє о одобреню за о</w:t>
      </w:r>
      <w:r>
        <w:rPr>
          <w:sz w:val="22"/>
        </w:rPr>
        <w:t>кончованє роботох по Закону о планованю и вибудови («Службени</w:t>
      </w:r>
      <w:r>
        <w:rPr>
          <w:rFonts w:ascii="Calibri" w:hAnsi="Calibri"/>
          <w:sz w:val="22"/>
        </w:rPr>
        <w:t xml:space="preserve"> глашнїк РС», число 72/09, 81/09 – випр., 64/10 – одлука УС, 24/11, 121/12, 42/13 – одлука </w:t>
      </w:r>
      <w:r>
        <w:rPr>
          <w:rFonts w:ascii="Calibri" w:hAnsi="Calibri"/>
          <w:sz w:val="22"/>
        </w:rPr>
        <w:lastRenderedPageBreak/>
        <w:t>УС, 50/13 – одлука УС, 98/13 – одлука УС, 132/14, 145/14, 83/18, 31/19, 37/19 – др. закон, 9/20, 52/21 и</w:t>
      </w:r>
      <w:r>
        <w:rPr>
          <w:rFonts w:ascii="Calibri" w:hAnsi="Calibri"/>
          <w:sz w:val="22"/>
        </w:rPr>
        <w:t xml:space="preserve"> 91/25);</w:t>
      </w:r>
    </w:p>
    <w:p w:rsidR="003270A1" w:rsidRDefault="00703223">
      <w:pPr>
        <w:pStyle w:val="ListParagraph"/>
        <w:numPr>
          <w:ilvl w:val="0"/>
          <w:numId w:val="5"/>
        </w:numPr>
        <w:spacing w:after="120"/>
        <w:jc w:val="both"/>
      </w:pPr>
      <w:r>
        <w:rPr>
          <w:b/>
          <w:bCs/>
        </w:rPr>
        <w:t>предмера и предрахунок роботох хтори подписал и оверел одвичательни проєктант (документ нє старши як шейсц мешаци з нумерованима боками, обовязно ма облапяц и датум виробку);</w:t>
      </w:r>
      <w:r>
        <w:rPr>
          <w:color w:val="FF0000"/>
        </w:rPr>
        <w:t xml:space="preserve"> </w:t>
      </w:r>
    </w:p>
    <w:p w:rsidR="003270A1" w:rsidRDefault="00703223">
      <w:pPr>
        <w:pStyle w:val="ListParagraph"/>
        <w:numPr>
          <w:ilvl w:val="0"/>
          <w:numId w:val="5"/>
        </w:numPr>
        <w:spacing w:after="120"/>
        <w:jc w:val="both"/>
        <w:rPr>
          <w:b/>
          <w:u w:val="single"/>
        </w:rPr>
      </w:pPr>
      <w:r>
        <w:rPr>
          <w:b/>
          <w:bCs/>
          <w:u w:val="single"/>
        </w:rPr>
        <w:t>у случаю софинансованя</w:t>
      </w:r>
      <w:r>
        <w:rPr>
          <w:b/>
          <w:bCs/>
        </w:rPr>
        <w:t xml:space="preserve"> доручиц доказ о обезпечених средствох за софинан</w:t>
      </w:r>
      <w:r>
        <w:rPr>
          <w:b/>
          <w:bCs/>
        </w:rPr>
        <w:t>сованє роботох</w:t>
      </w:r>
      <w:r>
        <w:t xml:space="preserve"> (контракт, ришенє, вивод зоз буджету єдинки локалней самоуправи и подобне) вєдно зоз шорово подписану и печацовану Вияву о учасци у софинансованю предметних роботох (Вияву доручиц у шлєбодней форми).</w:t>
      </w:r>
    </w:p>
    <w:p w:rsidR="003270A1" w:rsidRDefault="00703223">
      <w:pPr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В) ЗА ФИНАНСОВАНЄ И СОФИНАНСОВАНЄ ВИБУДОВ</w:t>
      </w:r>
      <w:r>
        <w:rPr>
          <w:rFonts w:ascii="Calibri" w:hAnsi="Calibri"/>
          <w:b/>
        </w:rPr>
        <w:t>И ОБЄКТОХ ШТРЕДНЬОГО</w:t>
      </w:r>
    </w:p>
    <w:p w:rsidR="003270A1" w:rsidRDefault="00703223">
      <w:pPr>
        <w:spacing w:after="120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</w:rPr>
        <w:t>ОБРАЗОВАНЯ И ВОСПИТАНЯ</w:t>
      </w:r>
      <w:r>
        <w:rPr>
          <w:rFonts w:ascii="Calibri" w:hAnsi="Calibri"/>
          <w:b/>
        </w:rPr>
        <w:t xml:space="preserve"> </w:t>
      </w:r>
    </w:p>
    <w:p w:rsidR="003270A1" w:rsidRDefault="00703223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b/>
        </w:rPr>
      </w:pPr>
      <w:r>
        <w:rPr>
          <w:b/>
          <w:bCs/>
          <w:u w:val="single"/>
        </w:rPr>
        <w:t>технїчну документацию</w:t>
      </w:r>
      <w:r>
        <w:t xml:space="preserve"> на основу хторей орґан цо є компетентни за видаванє будовательней дозволи видал будовательну дозволу (у случаю же установа нє обезпечела будовательну дозволу, подноши ше технїчну документац</w:t>
      </w:r>
      <w:r>
        <w:t>ию на основи хторей компетентни орґан вида будовательну дозволу кед ше витворя зоз законом предписани условия за тото);</w:t>
      </w:r>
    </w:p>
    <w:p w:rsidR="003270A1" w:rsidRDefault="00703223">
      <w:pPr>
        <w:pStyle w:val="ListParagraph"/>
        <w:numPr>
          <w:ilvl w:val="0"/>
          <w:numId w:val="6"/>
        </w:numPr>
        <w:spacing w:after="120"/>
        <w:ind w:left="360" w:firstLine="0"/>
        <w:jc w:val="both"/>
      </w:pPr>
      <w:r>
        <w:rPr>
          <w:b/>
          <w:bCs/>
        </w:rPr>
        <w:t>будовательну дозволу хтору видава орґан цо є компетентни за видаванє будовательней дозволи</w:t>
      </w:r>
      <w:r>
        <w:t xml:space="preserve"> (установи хтори нє обезпечели будовательну до</w:t>
      </w:r>
      <w:r>
        <w:t xml:space="preserve">зволу, подноша </w:t>
      </w:r>
      <w:r>
        <w:rPr>
          <w:u w:val="single"/>
        </w:rPr>
        <w:t>акт компетентного орґану з яким</w:t>
      </w:r>
      <w:r>
        <w:t xml:space="preserve"> ше потвердзує же приложена технїчна документация комплетна и одвитуюца, на основи хторей компетентни орґан вида будовательну дозволу кед ше за тото витворя зоз законом предписани условия);</w:t>
      </w:r>
    </w:p>
    <w:p w:rsidR="003270A1" w:rsidRDefault="00703223">
      <w:pPr>
        <w:pStyle w:val="ListParagraph"/>
        <w:numPr>
          <w:ilvl w:val="0"/>
          <w:numId w:val="6"/>
        </w:numPr>
        <w:spacing w:after="120"/>
        <w:ind w:left="360" w:firstLine="0"/>
        <w:jc w:val="both"/>
      </w:pPr>
      <w:r>
        <w:rPr>
          <w:b/>
          <w:bCs/>
        </w:rPr>
        <w:t>предмера и предрахун</w:t>
      </w:r>
      <w:r>
        <w:rPr>
          <w:b/>
          <w:bCs/>
        </w:rPr>
        <w:t>ок роботох хтори подписал и оверел одвичательни проєктант (документ нє старши як шейсц мешаци з нумерованима боками, обовязно ма облапяц и датум виробку);</w:t>
      </w:r>
      <w:r>
        <w:rPr>
          <w:b/>
        </w:rPr>
        <w:t xml:space="preserve"> </w:t>
      </w:r>
    </w:p>
    <w:p w:rsidR="003270A1" w:rsidRDefault="00703223">
      <w:pPr>
        <w:pStyle w:val="ListParagraph"/>
        <w:numPr>
          <w:ilvl w:val="0"/>
          <w:numId w:val="6"/>
        </w:numPr>
        <w:spacing w:after="120"/>
        <w:ind w:left="360" w:firstLine="0"/>
        <w:jc w:val="both"/>
      </w:pPr>
      <w:r>
        <w:rPr>
          <w:b/>
          <w:bCs/>
          <w:u w:val="single"/>
        </w:rPr>
        <w:t>у случаю софинансованя</w:t>
      </w:r>
      <w:r>
        <w:rPr>
          <w:b/>
          <w:bCs/>
        </w:rPr>
        <w:t xml:space="preserve"> доручиц доказ о обезпечених средствох за софинансованє роботох</w:t>
      </w:r>
      <w:r>
        <w:t xml:space="preserve"> (контракт, риш</w:t>
      </w:r>
      <w:r>
        <w:t>енє, вивод зоз буджету єдинки локалней самоуправи и подобне) вєдно зоз шорово подписану и печацовану Вияву о учасци у софинансованю предметних роботох (Вияву доручиц у шлєбодней форми);</w:t>
      </w:r>
    </w:p>
    <w:p w:rsidR="003270A1" w:rsidRDefault="003270A1">
      <w:pPr>
        <w:pStyle w:val="ListParagraph"/>
        <w:spacing w:after="120"/>
        <w:jc w:val="both"/>
        <w:rPr>
          <w:b/>
          <w:color w:val="FF0000"/>
          <w:u w:val="single"/>
          <w:lang w:val="sr-Cyrl-CS"/>
        </w:rPr>
      </w:pPr>
    </w:p>
    <w:p w:rsidR="003270A1" w:rsidRDefault="00703223">
      <w:pPr>
        <w:pStyle w:val="ListParagraph"/>
        <w:spacing w:after="120"/>
        <w:jc w:val="both"/>
        <w:rPr>
          <w:b/>
          <w:color w:val="FF0000"/>
          <w:u w:val="single"/>
        </w:rPr>
      </w:pPr>
      <w:r>
        <w:rPr>
          <w:b/>
          <w:u w:val="single"/>
        </w:rPr>
        <w:t xml:space="preserve">Термин за подношенє приявох на Конкурс то  08.04.2026. року. </w:t>
      </w:r>
    </w:p>
    <w:p w:rsidR="003270A1" w:rsidRDefault="00703223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>
        <w:t>Секретарият затримує право од подношителя прияви, по потреби, питац додатну документацию и информациї.</w:t>
      </w:r>
    </w:p>
    <w:p w:rsidR="003270A1" w:rsidRDefault="00703223">
      <w:pPr>
        <w:spacing w:line="100" w:lineRule="atLeast"/>
        <w:ind w:left="-284" w:right="-64" w:firstLine="9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По виходзеню термину за подношенє приявох, Комисия приступа ґу розпатраню приявох.</w:t>
      </w:r>
    </w:p>
    <w:p w:rsidR="003270A1" w:rsidRDefault="00703223">
      <w:pPr>
        <w:spacing w:line="100" w:lineRule="atLeast"/>
        <w:ind w:right="-431" w:hang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Комисия нє будзе розпатрац нєподполни и нєдопущени прияви и то:</w:t>
      </w:r>
    </w:p>
    <w:p w:rsidR="003270A1" w:rsidRDefault="003270A1">
      <w:pPr>
        <w:spacing w:line="100" w:lineRule="atLeast"/>
        <w:ind w:right="-431" w:hanging="1"/>
        <w:jc w:val="both"/>
        <w:rPr>
          <w:sz w:val="20"/>
          <w:szCs w:val="20"/>
          <w:lang w:val="sr-Cyrl-RS"/>
        </w:rPr>
      </w:pPr>
    </w:p>
    <w:p w:rsidR="003270A1" w:rsidRDefault="00703223">
      <w:pPr>
        <w:pStyle w:val="ListParagraph"/>
        <w:numPr>
          <w:ilvl w:val="0"/>
          <w:numId w:val="7"/>
        </w:numPr>
        <w:spacing w:line="100" w:lineRule="atLeast"/>
        <w:ind w:right="-431"/>
        <w:jc w:val="both"/>
        <w:rPr>
          <w:rFonts w:cs="Calibri"/>
        </w:rPr>
      </w:pPr>
      <w:r>
        <w:t>нєподполни прияви (нєправилно виполнєни прияви, односно прияви у хторих нє виполнєни шицки обовязни поля, прияви хтори нє подписани и печацовани, прияви хтори менши як вредносни лимит 5 милиони з ПДВ, прияви ґу хторих нє приложена документация яка вимагана</w:t>
      </w:r>
      <w:r>
        <w:t xml:space="preserve"> зоз конкурсом доручена зоз нєдостатками и/або нє доручена),</w:t>
      </w:r>
    </w:p>
    <w:p w:rsidR="003270A1" w:rsidRDefault="00703223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нєблагочасни прияви (прияви хтори послати по термину яки назначени як остатнї дзень конкурса),</w:t>
      </w:r>
    </w:p>
    <w:p w:rsidR="003270A1" w:rsidRDefault="003270A1">
      <w:pPr>
        <w:pStyle w:val="Normal1"/>
        <w:spacing w:before="0" w:beforeAutospacing="0" w:after="0" w:afterAutospacing="0"/>
        <w:ind w:leftChars="97" w:left="264" w:hangingChars="14" w:hanging="31"/>
        <w:rPr>
          <w:rFonts w:ascii="Calibri" w:hAnsi="Calibri" w:cs="Calibri"/>
          <w:lang w:val="sr-Cyrl-CS"/>
        </w:rPr>
      </w:pPr>
    </w:p>
    <w:p w:rsidR="003270A1" w:rsidRDefault="00703223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прияви (прияви хтори поднєсли нєовласцени особи и субєкти хтори нє предвидзени зоз конкурсом),</w:t>
      </w:r>
    </w:p>
    <w:p w:rsidR="003270A1" w:rsidRDefault="003270A1">
      <w:pPr>
        <w:pStyle w:val="Normal1"/>
        <w:spacing w:before="0" w:beforeAutospacing="0" w:after="0" w:afterAutospacing="0"/>
        <w:ind w:leftChars="97" w:left="372" w:hangingChars="63" w:hanging="139"/>
        <w:rPr>
          <w:rFonts w:ascii="Calibri" w:hAnsi="Calibri" w:cs="Calibri"/>
          <w:lang w:val="sr-Cyrl-CS"/>
        </w:rPr>
      </w:pPr>
    </w:p>
    <w:p w:rsidR="003270A1" w:rsidRDefault="00703223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при</w:t>
      </w:r>
      <w:r>
        <w:rPr>
          <w:rFonts w:ascii="Calibri" w:hAnsi="Calibri"/>
        </w:rPr>
        <w:t xml:space="preserve">яви хтори ше нє одноша на з конкурсом предвидзени наменки; </w:t>
      </w:r>
    </w:p>
    <w:p w:rsidR="003270A1" w:rsidRDefault="003270A1">
      <w:pPr>
        <w:pStyle w:val="Normal1"/>
        <w:spacing w:before="0" w:beforeAutospacing="0" w:after="0" w:afterAutospacing="0"/>
        <w:ind w:firstLineChars="150" w:firstLine="330"/>
        <w:rPr>
          <w:rFonts w:ascii="Calibri" w:hAnsi="Calibri" w:cs="Calibri"/>
          <w:lang w:val="sr-Cyrl-CS"/>
        </w:rPr>
      </w:pPr>
    </w:p>
    <w:p w:rsidR="003270A1" w:rsidRDefault="00703223">
      <w:pPr>
        <w:pStyle w:val="Normal1"/>
        <w:numPr>
          <w:ilvl w:val="0"/>
          <w:numId w:val="7"/>
        </w:numPr>
        <w:spacing w:before="0" w:beforeAutospacing="0" w:after="0" w:afterAutospacing="0"/>
      </w:pPr>
      <w:r>
        <w:rPr>
          <w:rFonts w:ascii="Calibri" w:hAnsi="Calibri"/>
        </w:rPr>
        <w:t>прияви хасновательох хтори у предходним периодзе нє оправдали средства яки додзелєни з покраїнского буджету прейґ финансийних и наративних звитох.</w:t>
      </w:r>
    </w:p>
    <w:p w:rsidR="003270A1" w:rsidRDefault="003270A1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270A1" w:rsidRDefault="00703223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Резултати Конкурса буду обявени на интернет пре</w:t>
      </w:r>
      <w:r>
        <w:rPr>
          <w:rFonts w:ascii="Calibri" w:hAnsi="Calibri"/>
          <w:sz w:val="22"/>
        </w:rPr>
        <w:t xml:space="preserve">зентациї Секретарияту. </w:t>
      </w:r>
    </w:p>
    <w:p w:rsidR="003270A1" w:rsidRDefault="0070322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Заинтересовани особи додатни информациї у вязи зоз реализацию Конкурса можу достац </w:t>
      </w:r>
      <w:r w:rsidR="00790D74">
        <w:rPr>
          <w:rFonts w:ascii="Calibri" w:hAnsi="Calibri"/>
          <w:b/>
          <w:sz w:val="22"/>
        </w:rPr>
        <w:t>у Секретарияту на числа телефон</w:t>
      </w:r>
      <w:r w:rsidR="00790D74">
        <w:rPr>
          <w:rFonts w:ascii="Calibri" w:hAnsi="Calibri"/>
          <w:b/>
          <w:sz w:val="22"/>
          <w:lang w:val="en-US"/>
        </w:rPr>
        <w:t>у</w:t>
      </w:r>
      <w:bookmarkStart w:id="0" w:name="_GoBack"/>
      <w:bookmarkEnd w:id="0"/>
      <w:r>
        <w:rPr>
          <w:rFonts w:ascii="Calibri" w:hAnsi="Calibri"/>
          <w:b/>
          <w:sz w:val="22"/>
        </w:rPr>
        <w:t>:  021/487  42 68, 487 46 14, 487 40 36.</w:t>
      </w:r>
    </w:p>
    <w:p w:rsidR="003270A1" w:rsidRDefault="003270A1">
      <w:pPr>
        <w:rPr>
          <w:rFonts w:ascii="Calibri" w:hAnsi="Calibri"/>
          <w:sz w:val="22"/>
          <w:szCs w:val="22"/>
          <w:lang w:val="sr-Cyrl-RS"/>
        </w:rPr>
      </w:pPr>
    </w:p>
    <w:p w:rsidR="003270A1" w:rsidRDefault="003270A1">
      <w:pPr>
        <w:rPr>
          <w:rFonts w:ascii="Calibri" w:hAnsi="Calibri"/>
          <w:sz w:val="22"/>
          <w:szCs w:val="22"/>
          <w:lang w:val="sr-Cyrl-CS"/>
        </w:rPr>
      </w:pPr>
    </w:p>
    <w:p w:rsidR="003270A1" w:rsidRDefault="0070322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</w:r>
    </w:p>
    <w:p w:rsidR="003270A1" w:rsidRDefault="00703223">
      <w:pPr>
        <w:tabs>
          <w:tab w:val="center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  <w:t>Покраїнски секретар,</w:t>
      </w:r>
    </w:p>
    <w:p w:rsidR="003270A1" w:rsidRDefault="00703223">
      <w:pPr>
        <w:tabs>
          <w:tab w:val="center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</w:r>
    </w:p>
    <w:p w:rsidR="003270A1" w:rsidRDefault="00703223">
      <w:pPr>
        <w:tabs>
          <w:tab w:val="center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  <w:t xml:space="preserve">Роберт Отот, с. р. </w:t>
      </w:r>
    </w:p>
    <w:p w:rsidR="003270A1" w:rsidRDefault="003270A1">
      <w:pPr>
        <w:tabs>
          <w:tab w:val="center" w:pos="7200"/>
        </w:tabs>
        <w:rPr>
          <w:rFonts w:ascii="Calibri" w:hAnsi="Calibri"/>
          <w:sz w:val="22"/>
          <w:szCs w:val="22"/>
        </w:rPr>
      </w:pPr>
    </w:p>
    <w:sectPr w:rsidR="003270A1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5DFA7C4"/>
    <w:multiLevelType w:val="singleLevel"/>
    <w:tmpl w:val="E5DFA7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31382"/>
    <w:multiLevelType w:val="multilevel"/>
    <w:tmpl w:val="7EA313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7A19"/>
    <w:rsid w:val="001218DF"/>
    <w:rsid w:val="00121952"/>
    <w:rsid w:val="00126F11"/>
    <w:rsid w:val="00133BBB"/>
    <w:rsid w:val="00135DB8"/>
    <w:rsid w:val="00137619"/>
    <w:rsid w:val="001407E7"/>
    <w:rsid w:val="00144FE1"/>
    <w:rsid w:val="00151DB6"/>
    <w:rsid w:val="00155F74"/>
    <w:rsid w:val="001666E2"/>
    <w:rsid w:val="00185D0A"/>
    <w:rsid w:val="00192397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60CCD"/>
    <w:rsid w:val="002617A4"/>
    <w:rsid w:val="0026367C"/>
    <w:rsid w:val="0026497B"/>
    <w:rsid w:val="00265395"/>
    <w:rsid w:val="0027518F"/>
    <w:rsid w:val="002819BC"/>
    <w:rsid w:val="00293AE0"/>
    <w:rsid w:val="002B5B74"/>
    <w:rsid w:val="002C65AB"/>
    <w:rsid w:val="002D1259"/>
    <w:rsid w:val="002D2668"/>
    <w:rsid w:val="002D691E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270A1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6876"/>
    <w:rsid w:val="00390EE5"/>
    <w:rsid w:val="003912A5"/>
    <w:rsid w:val="00394A7A"/>
    <w:rsid w:val="003978D4"/>
    <w:rsid w:val="003B4602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A1C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B60"/>
    <w:rsid w:val="00597282"/>
    <w:rsid w:val="005A3854"/>
    <w:rsid w:val="005A7D50"/>
    <w:rsid w:val="005B2CDC"/>
    <w:rsid w:val="005C2188"/>
    <w:rsid w:val="005D15B5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4597"/>
    <w:rsid w:val="006363C8"/>
    <w:rsid w:val="00641A62"/>
    <w:rsid w:val="00641E77"/>
    <w:rsid w:val="00642F4E"/>
    <w:rsid w:val="0064441B"/>
    <w:rsid w:val="00650A84"/>
    <w:rsid w:val="00676F39"/>
    <w:rsid w:val="00677ADD"/>
    <w:rsid w:val="00683B73"/>
    <w:rsid w:val="006855CA"/>
    <w:rsid w:val="00690CA0"/>
    <w:rsid w:val="006A1AE1"/>
    <w:rsid w:val="006A5703"/>
    <w:rsid w:val="006A6BAE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223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4A54"/>
    <w:rsid w:val="007663F3"/>
    <w:rsid w:val="0077721A"/>
    <w:rsid w:val="00777E68"/>
    <w:rsid w:val="00787B41"/>
    <w:rsid w:val="00790525"/>
    <w:rsid w:val="00790D74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4A6"/>
    <w:rsid w:val="008536FC"/>
    <w:rsid w:val="0085476C"/>
    <w:rsid w:val="008553D2"/>
    <w:rsid w:val="00862A6C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B2E93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19B4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FCF"/>
    <w:rsid w:val="00A92300"/>
    <w:rsid w:val="00A963D5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C7C22"/>
    <w:rsid w:val="00BD4FF6"/>
    <w:rsid w:val="00BE1A87"/>
    <w:rsid w:val="00BE3A4B"/>
    <w:rsid w:val="00BF3353"/>
    <w:rsid w:val="00C0212B"/>
    <w:rsid w:val="00C02CEA"/>
    <w:rsid w:val="00C0431E"/>
    <w:rsid w:val="00C04BC8"/>
    <w:rsid w:val="00C167EF"/>
    <w:rsid w:val="00C23D1E"/>
    <w:rsid w:val="00C25A65"/>
    <w:rsid w:val="00C32D11"/>
    <w:rsid w:val="00C342CB"/>
    <w:rsid w:val="00C40674"/>
    <w:rsid w:val="00C55B48"/>
    <w:rsid w:val="00C55DE6"/>
    <w:rsid w:val="00C71105"/>
    <w:rsid w:val="00C85F3E"/>
    <w:rsid w:val="00C92033"/>
    <w:rsid w:val="00C93965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90"/>
    <w:rsid w:val="00D6170A"/>
    <w:rsid w:val="00D67A9D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B126A"/>
    <w:rsid w:val="00DB34A9"/>
    <w:rsid w:val="00DB76F9"/>
    <w:rsid w:val="00DB7981"/>
    <w:rsid w:val="00DC23F6"/>
    <w:rsid w:val="00DC7701"/>
    <w:rsid w:val="00DC790E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6262E"/>
    <w:rsid w:val="00F711F5"/>
    <w:rsid w:val="00F73FB4"/>
    <w:rsid w:val="00F76F0D"/>
    <w:rsid w:val="00F8154F"/>
    <w:rsid w:val="00F82855"/>
    <w:rsid w:val="00F87D6B"/>
    <w:rsid w:val="00F90EB1"/>
    <w:rsid w:val="00F92379"/>
    <w:rsid w:val="00F97BC2"/>
    <w:rsid w:val="00FA076E"/>
    <w:rsid w:val="00FA41FF"/>
    <w:rsid w:val="00FB1908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F43DC"/>
    <w:rsid w:val="00FF515E"/>
    <w:rsid w:val="00FF7AEF"/>
    <w:rsid w:val="084D37C3"/>
    <w:rsid w:val="08F935C9"/>
    <w:rsid w:val="220049D2"/>
    <w:rsid w:val="245E7CB8"/>
    <w:rsid w:val="2D876BA9"/>
    <w:rsid w:val="2F8D0662"/>
    <w:rsid w:val="3B6B039E"/>
    <w:rsid w:val="41C42940"/>
    <w:rsid w:val="43344636"/>
    <w:rsid w:val="49B572A0"/>
    <w:rsid w:val="534853BF"/>
    <w:rsid w:val="538D7E83"/>
    <w:rsid w:val="60AA61E9"/>
    <w:rsid w:val="61293E55"/>
    <w:rsid w:val="6A576FE4"/>
    <w:rsid w:val="6CFB60C2"/>
    <w:rsid w:val="75625E25"/>
    <w:rsid w:val="7C351D1F"/>
    <w:rsid w:val="7CE3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B1CE6"/>
  <w15:docId w15:val="{4093B938-6926-4D34-B51E-995A889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uk-UA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uk-U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uk-UA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uk-U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uk-UA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uk-UA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uk-UA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quot;http://www.puma.vojvodina.gov.rs&amp;qu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9146-78BF-4C78-B6B1-9CD29ABA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1693</Words>
  <Characters>10715</Characters>
  <Application>Microsoft Office Word</Application>
  <DocSecurity>0</DocSecurity>
  <Lines>218</Lines>
  <Paragraphs>79</Paragraphs>
  <ScaleCrop>false</ScaleCrop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Bogdan Rac</cp:lastModifiedBy>
  <cp:revision>18</cp:revision>
  <cp:lastPrinted>2026-02-09T13:31:00Z</cp:lastPrinted>
  <dcterms:created xsi:type="dcterms:W3CDTF">2025-01-28T13:19:00Z</dcterms:created>
  <dcterms:modified xsi:type="dcterms:W3CDTF">2026-03-04T10:25:00Z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AB671BAF58AA4EF18EA79E389EA759CF_13</vt:lpwstr>
  </property>
</Properties>
</file>