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FB3B" w14:textId="77777777" w:rsidR="00A26E6D" w:rsidRPr="003969B3" w:rsidRDefault="004962FA">
      <w:pPr>
        <w:spacing w:line="252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3969B3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0" wp14:anchorId="20F1D0CD" wp14:editId="77E4192B">
            <wp:simplePos x="0" y="0"/>
            <wp:positionH relativeFrom="column">
              <wp:posOffset>-291451</wp:posOffset>
            </wp:positionH>
            <wp:positionV relativeFrom="paragraph">
              <wp:posOffset>-23368</wp:posOffset>
            </wp:positionV>
            <wp:extent cx="1492250" cy="96583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69B3">
        <w:rPr>
          <w:rFonts w:asciiTheme="minorHAnsi" w:hAnsiTheme="minorHAnsi" w:cstheme="minorHAnsi"/>
        </w:rPr>
        <w:t>Srbská republika</w:t>
      </w:r>
      <w:r w:rsidRPr="003969B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31FD689" w14:textId="77777777" w:rsidR="00A26E6D" w:rsidRPr="003969B3" w:rsidRDefault="004962FA">
      <w:pPr>
        <w:spacing w:line="252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3969B3">
        <w:rPr>
          <w:rFonts w:asciiTheme="minorHAnsi" w:hAnsiTheme="minorHAnsi" w:cstheme="minorHAnsi"/>
          <w:sz w:val="18"/>
          <w:szCs w:val="18"/>
        </w:rPr>
        <w:t xml:space="preserve">Autonómna </w:t>
      </w:r>
      <w:proofErr w:type="spellStart"/>
      <w:r w:rsidRPr="003969B3">
        <w:rPr>
          <w:rFonts w:asciiTheme="minorHAnsi" w:hAnsiTheme="minorHAnsi" w:cstheme="minorHAnsi"/>
          <w:sz w:val="18"/>
          <w:szCs w:val="18"/>
        </w:rPr>
        <w:t>pokrajina</w:t>
      </w:r>
      <w:proofErr w:type="spellEnd"/>
      <w:r w:rsidRPr="003969B3">
        <w:rPr>
          <w:rFonts w:asciiTheme="minorHAnsi" w:hAnsiTheme="minorHAnsi" w:cstheme="minorHAnsi"/>
          <w:sz w:val="18"/>
          <w:szCs w:val="18"/>
        </w:rPr>
        <w:t xml:space="preserve"> Vojvodina </w:t>
      </w:r>
    </w:p>
    <w:p w14:paraId="7775FFE9" w14:textId="77777777" w:rsidR="00A26E6D" w:rsidRPr="003969B3" w:rsidRDefault="004962FA">
      <w:pPr>
        <w:spacing w:line="252" w:lineRule="auto"/>
        <w:ind w:right="2475"/>
        <w:jc w:val="left"/>
        <w:rPr>
          <w:rFonts w:asciiTheme="minorHAnsi" w:hAnsiTheme="minorHAnsi" w:cstheme="minorHAnsi"/>
          <w:sz w:val="18"/>
          <w:szCs w:val="18"/>
        </w:rPr>
      </w:pPr>
      <w:proofErr w:type="spellStart"/>
      <w:r w:rsidRPr="003969B3">
        <w:rPr>
          <w:rFonts w:asciiTheme="minorHAnsi" w:hAnsiTheme="minorHAnsi" w:cstheme="minorHAnsi"/>
          <w:sz w:val="18"/>
          <w:szCs w:val="18"/>
        </w:rPr>
        <w:t>Pokrajinský</w:t>
      </w:r>
      <w:proofErr w:type="spellEnd"/>
      <w:r w:rsidRPr="003969B3">
        <w:rPr>
          <w:rFonts w:asciiTheme="minorHAnsi" w:hAnsiTheme="minorHAnsi" w:cstheme="minorHAnsi"/>
          <w:sz w:val="18"/>
          <w:szCs w:val="18"/>
        </w:rPr>
        <w:t xml:space="preserve"> sekretariát vzdelávania, predpisov, správy a národnostných menšín – národnostných spoločenstiev </w:t>
      </w:r>
    </w:p>
    <w:p w14:paraId="04E78C0E" w14:textId="77777777" w:rsidR="00A26E6D" w:rsidRPr="003969B3" w:rsidRDefault="004962FA">
      <w:pPr>
        <w:spacing w:line="252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3969B3">
        <w:rPr>
          <w:rFonts w:asciiTheme="minorHAnsi" w:hAnsiTheme="minorHAnsi" w:cstheme="minorHAnsi"/>
          <w:sz w:val="18"/>
          <w:szCs w:val="18"/>
        </w:rPr>
        <w:t xml:space="preserve">Bulvár </w:t>
      </w:r>
      <w:proofErr w:type="spellStart"/>
      <w:r w:rsidRPr="003969B3">
        <w:rPr>
          <w:rFonts w:asciiTheme="minorHAnsi" w:hAnsiTheme="minorHAnsi" w:cstheme="minorHAnsi"/>
          <w:sz w:val="18"/>
          <w:szCs w:val="18"/>
        </w:rPr>
        <w:t>Mihajla</w:t>
      </w:r>
      <w:proofErr w:type="spellEnd"/>
      <w:r w:rsidRPr="003969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969B3">
        <w:rPr>
          <w:rFonts w:asciiTheme="minorHAnsi" w:hAnsiTheme="minorHAnsi" w:cstheme="minorHAnsi"/>
          <w:sz w:val="18"/>
          <w:szCs w:val="18"/>
        </w:rPr>
        <w:t>Pupina</w:t>
      </w:r>
      <w:proofErr w:type="spellEnd"/>
      <w:r w:rsidRPr="003969B3">
        <w:rPr>
          <w:rFonts w:asciiTheme="minorHAnsi" w:hAnsiTheme="minorHAnsi" w:cstheme="minorHAnsi"/>
          <w:sz w:val="18"/>
          <w:szCs w:val="18"/>
        </w:rPr>
        <w:t xml:space="preserve"> 16, 21 000 Nový Sad </w:t>
      </w:r>
    </w:p>
    <w:p w14:paraId="41F4A99C" w14:textId="77777777" w:rsidR="00A26E6D" w:rsidRPr="003969B3" w:rsidRDefault="004962FA" w:rsidP="003969B3">
      <w:pPr>
        <w:spacing w:line="252" w:lineRule="auto"/>
        <w:ind w:right="3745"/>
        <w:jc w:val="left"/>
        <w:rPr>
          <w:rFonts w:asciiTheme="minorHAnsi" w:hAnsiTheme="minorHAnsi" w:cstheme="minorHAnsi"/>
          <w:sz w:val="18"/>
          <w:szCs w:val="18"/>
        </w:rPr>
      </w:pPr>
      <w:r w:rsidRPr="003969B3">
        <w:rPr>
          <w:rFonts w:asciiTheme="minorHAnsi" w:hAnsiTheme="minorHAnsi" w:cstheme="minorHAnsi"/>
          <w:sz w:val="18"/>
          <w:szCs w:val="18"/>
        </w:rPr>
        <w:t xml:space="preserve">T: +381 21 487 4876     merlida.konstantinovic@vojvodinа.gov.rs </w:t>
      </w:r>
    </w:p>
    <w:p w14:paraId="621BAC2C" w14:textId="77777777" w:rsidR="00A26E6D" w:rsidRPr="003969B3" w:rsidRDefault="004962FA">
      <w:pPr>
        <w:spacing w:after="0" w:line="259" w:lineRule="auto"/>
        <w:ind w:left="2093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A90068" w14:textId="12297A74" w:rsidR="00A26E6D" w:rsidRPr="003969B3" w:rsidRDefault="004962FA">
      <w:pPr>
        <w:tabs>
          <w:tab w:val="center" w:pos="3933"/>
          <w:tab w:val="center" w:pos="6906"/>
          <w:tab w:val="center" w:pos="8101"/>
        </w:tabs>
        <w:spacing w:line="252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3969B3">
        <w:rPr>
          <w:rFonts w:asciiTheme="minorHAnsi" w:hAnsiTheme="minorHAnsi" w:cstheme="minorHAnsi"/>
          <w:sz w:val="24"/>
          <w:szCs w:val="24"/>
        </w:rPr>
        <w:tab/>
      </w:r>
      <w:r w:rsidRPr="003969B3">
        <w:rPr>
          <w:rFonts w:asciiTheme="minorHAnsi" w:hAnsiTheme="minorHAnsi" w:cstheme="minorHAnsi"/>
          <w:szCs w:val="20"/>
        </w:rPr>
        <w:t xml:space="preserve"> ČÍSLO: </w:t>
      </w:r>
      <w:r w:rsidRPr="003969B3">
        <w:rPr>
          <w:rFonts w:asciiTheme="minorHAnsi" w:hAnsiTheme="minorHAnsi" w:cstheme="minorHAnsi"/>
          <w:szCs w:val="20"/>
          <w:shd w:val="clear" w:color="auto" w:fill="FFFFFF"/>
        </w:rPr>
        <w:t>000181346 2026 09427 001 001 000 001 04 002</w:t>
      </w:r>
      <w:r w:rsidRPr="003969B3">
        <w:rPr>
          <w:rFonts w:asciiTheme="minorHAnsi" w:hAnsiTheme="minorHAnsi" w:cstheme="minorHAnsi"/>
          <w:szCs w:val="20"/>
        </w:rPr>
        <w:tab/>
        <w:t xml:space="preserve"> </w:t>
      </w:r>
      <w:r w:rsidRPr="003969B3">
        <w:rPr>
          <w:rFonts w:asciiTheme="minorHAnsi" w:hAnsiTheme="minorHAnsi" w:cstheme="minorHAnsi"/>
          <w:szCs w:val="20"/>
        </w:rPr>
        <w:tab/>
        <w:t xml:space="preserve">DÁTUM: 26. </w:t>
      </w:r>
      <w:r w:rsidR="003969B3" w:rsidRPr="003969B3">
        <w:rPr>
          <w:rFonts w:asciiTheme="minorHAnsi" w:hAnsiTheme="minorHAnsi" w:cstheme="minorHAnsi"/>
          <w:szCs w:val="20"/>
        </w:rPr>
        <w:t>01. 2026</w:t>
      </w:r>
      <w:r w:rsidRPr="003969B3">
        <w:rPr>
          <w:rFonts w:asciiTheme="minorHAnsi" w:hAnsiTheme="minorHAnsi" w:cstheme="minorHAnsi"/>
          <w:szCs w:val="20"/>
        </w:rPr>
        <w:t xml:space="preserve"> </w:t>
      </w:r>
    </w:p>
    <w:p w14:paraId="20816941" w14:textId="77777777" w:rsidR="00A26E6D" w:rsidRPr="003969B3" w:rsidRDefault="004962FA">
      <w:pPr>
        <w:spacing w:after="0" w:line="259" w:lineRule="auto"/>
        <w:ind w:left="38" w:firstLine="0"/>
        <w:jc w:val="center"/>
        <w:rPr>
          <w:rFonts w:asciiTheme="minorHAnsi" w:hAnsiTheme="minorHAnsi" w:cstheme="minorHAnsi"/>
          <w:szCs w:val="20"/>
        </w:rPr>
      </w:pPr>
      <w:r w:rsidRPr="003969B3">
        <w:rPr>
          <w:rFonts w:asciiTheme="minorHAnsi" w:hAnsiTheme="minorHAnsi" w:cstheme="minorHAnsi"/>
          <w:szCs w:val="20"/>
        </w:rPr>
        <w:t xml:space="preserve"> </w:t>
      </w:r>
    </w:p>
    <w:p w14:paraId="1FAFA36E" w14:textId="77777777" w:rsidR="00A26E6D" w:rsidRPr="003969B3" w:rsidRDefault="004962FA">
      <w:pPr>
        <w:spacing w:after="3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1D6B02" w14:textId="59B0FE61" w:rsidR="00A26E6D" w:rsidRPr="003969B3" w:rsidRDefault="004962FA" w:rsidP="003969B3">
      <w:pPr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Podľa článku 2 a 5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Pokrajinského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parlamentného uznesenia o prideľovaní rozpočtových prostriedkov na financovanie a spolufinancovanie programových aktivít a projektov v oblasti základného a stredného vzdelávania a výchovy a žiackeho štandardu v Autonómnej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pokrajine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Vojv</w:t>
      </w:r>
      <w:r w:rsidR="003969B3">
        <w:rPr>
          <w:rFonts w:asciiTheme="minorHAnsi" w:hAnsiTheme="minorHAnsi" w:cstheme="minorHAnsi"/>
          <w:color w:val="auto"/>
          <w:sz w:val="24"/>
          <w:szCs w:val="24"/>
        </w:rPr>
        <w:t>odine (Úradný vestník APV číslo</w:t>
      </w:r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14/15 a 10/17), článku 4 Pravidiel o prideľovaní rozpočtových prostriedkov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Pokrajinského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sekretariátu vzdelávania, predpisov, správy a národnostných menšín – národnostných spoločenstiev na financovanie a spolufinancovanie projektov v oblasti zlepšovania kvality výchovno-vzdelávacieho procesu základného vzdelávania – náklady na pobyt a dopravu žiakov tretieho ročníka základných škôl z územia AP Vojvodiny a angažovanie ich učiteľov ako sprievodcov v Kreatívnom centre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Hertelendy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Bajić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v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Bočari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na rok</w:t>
      </w:r>
      <w:r w:rsidR="003969B3">
        <w:rPr>
          <w:rFonts w:asciiTheme="minorHAnsi" w:hAnsiTheme="minorHAnsi" w:cstheme="minorHAnsi"/>
          <w:color w:val="auto"/>
          <w:sz w:val="24"/>
          <w:szCs w:val="24"/>
        </w:rPr>
        <w:t xml:space="preserve"> 2026 (Úradný vestník APV číslo 3/26)</w:t>
      </w:r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a v súvislosti s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Pokrajinským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parlamentným uznesením o rozpočte Autonómnej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pokrajiny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Vojvodiny na</w:t>
      </w:r>
      <w:r w:rsidR="003969B3">
        <w:rPr>
          <w:rFonts w:asciiTheme="minorHAnsi" w:hAnsiTheme="minorHAnsi" w:cstheme="minorHAnsi"/>
          <w:color w:val="auto"/>
          <w:sz w:val="24"/>
          <w:szCs w:val="24"/>
        </w:rPr>
        <w:t xml:space="preserve"> rok 2026 (Úradný vestník číslo 63/25)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pokrajinský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tajomník vzdelávania, predpisov, správy a národnostných menšín – národnostných spoločenstiev vypisuje </w:t>
      </w:r>
    </w:p>
    <w:p w14:paraId="739F0078" w14:textId="77777777" w:rsidR="00A26E6D" w:rsidRPr="003969B3" w:rsidRDefault="004962FA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5E1E625" w14:textId="77777777" w:rsidR="006A47D5" w:rsidRPr="003969B3" w:rsidRDefault="004962FA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SÚBEH </w:t>
      </w:r>
    </w:p>
    <w:p w14:paraId="3646D84F" w14:textId="00DE5FDD" w:rsidR="006A47D5" w:rsidRPr="003969B3" w:rsidRDefault="004962FA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O FINANCOVANIE A SPOLUFINANCOVANIE PROJEKTOV V OBLASTI ZLEPŠOVANIA KVALITY VÝCHOVNO-VZDELÁVACIEHO PROCESU ZÁKLADNÉHO VZDELÁVANIA – NÁKLADY </w:t>
      </w:r>
      <w:r w:rsidR="00AD7516" w:rsidRPr="003969B3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Pr="003969B3">
        <w:rPr>
          <w:rFonts w:asciiTheme="minorHAnsi" w:hAnsiTheme="minorHAnsi" w:cstheme="minorHAnsi"/>
          <w:sz w:val="24"/>
          <w:szCs w:val="24"/>
        </w:rPr>
        <w:t xml:space="preserve">NA POBYT A DOPRAVU ŽIAKOV TRETIEHO ROČNÍKA </w:t>
      </w:r>
    </w:p>
    <w:p w14:paraId="2CD8CFC5" w14:textId="1C30C212" w:rsidR="006A47D5" w:rsidRPr="003969B3" w:rsidRDefault="004962FA" w:rsidP="00AD751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ZÁKLADNÝCH ŠKÔL Z ÚZEMIA AP VOJVODINY </w:t>
      </w:r>
      <w:r w:rsidR="00AD7516" w:rsidRPr="003969B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</w:t>
      </w:r>
      <w:r w:rsidRPr="003969B3">
        <w:rPr>
          <w:rFonts w:asciiTheme="minorHAnsi" w:hAnsiTheme="minorHAnsi" w:cstheme="minorHAnsi"/>
          <w:sz w:val="24"/>
          <w:szCs w:val="24"/>
        </w:rPr>
        <w:t xml:space="preserve">A ANGAŽOVANIE ICH UČITEĽOV AKO SPRIEVODCOV </w:t>
      </w:r>
    </w:p>
    <w:p w14:paraId="14A77303" w14:textId="0317623F" w:rsidR="006A47D5" w:rsidRPr="003969B3" w:rsidRDefault="004962FA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V KREATÍVNOM CENTRE HERTELENDY BAJIĆ V BOČARI </w:t>
      </w:r>
    </w:p>
    <w:p w14:paraId="76F407A3" w14:textId="77777777" w:rsidR="00A26E6D" w:rsidRPr="003969B3" w:rsidRDefault="0022344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V OBDOBÍ MAREC – JÚN 2026 </w:t>
      </w:r>
    </w:p>
    <w:p w14:paraId="0AD5F859" w14:textId="77777777" w:rsidR="00A26E6D" w:rsidRPr="003969B3" w:rsidRDefault="004962FA">
      <w:pPr>
        <w:spacing w:after="0" w:line="259" w:lineRule="auto"/>
        <w:ind w:left="4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A512D2" w14:textId="77777777" w:rsidR="00A26E6D" w:rsidRPr="003969B3" w:rsidRDefault="004962FA">
      <w:pPr>
        <w:spacing w:after="0" w:line="259" w:lineRule="auto"/>
        <w:ind w:left="4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0CFEDBC" w14:textId="4E437E20" w:rsidR="00A26E6D" w:rsidRPr="003969B3" w:rsidRDefault="004962FA">
      <w:pPr>
        <w:ind w:left="-15" w:firstLine="708"/>
        <w:rPr>
          <w:rFonts w:asciiTheme="minorHAnsi" w:hAnsiTheme="minorHAnsi" w:cstheme="minorHAnsi"/>
          <w:sz w:val="24"/>
          <w:szCs w:val="24"/>
        </w:rPr>
      </w:pPr>
      <w:proofErr w:type="spellStart"/>
      <w:r w:rsidRPr="003969B3">
        <w:rPr>
          <w:rFonts w:asciiTheme="minorHAnsi" w:hAnsiTheme="minorHAnsi" w:cstheme="minorHAnsi"/>
          <w:sz w:val="24"/>
          <w:szCs w:val="24"/>
        </w:rPr>
        <w:t>Pokrajinský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sekretariát vzdelávania, predpisov, správy a národnostných menšín – národnostných spoločenstiev (ďalej len: sekretariát) v súlade s Finančným plánom na rok 2026 na zvýšene kvality základného vzdelávania – náklady na pobyt a dopravu žiakov tretieho ročníka základných škôl z územia AP Vojvodiny a angažovanie ich učiteľov ako sprievodcov na realizáciu všetkých plánovaných aktivít v oblasti prírodných a spoločenských vied, umenia a kultúry, ktoré sa budú konať v období marec – jún 2026 v Kreatívnom centre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Hertelendy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Bajić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Bočari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, určuje sumu </w:t>
      </w:r>
      <w:r w:rsidRPr="003969B3">
        <w:rPr>
          <w:rFonts w:asciiTheme="minorHAnsi" w:hAnsiTheme="minorHAnsi" w:cstheme="minorHAnsi"/>
          <w:b/>
          <w:bCs/>
          <w:sz w:val="24"/>
          <w:szCs w:val="24"/>
        </w:rPr>
        <w:t>10 000 000,00 dinárov</w:t>
      </w:r>
      <w:r w:rsidRPr="003969B3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3E03145" w14:textId="1591DC59" w:rsidR="003626A6" w:rsidRPr="003969B3" w:rsidRDefault="003626A6">
      <w:pPr>
        <w:ind w:left="-15" w:firstLine="708"/>
        <w:rPr>
          <w:rFonts w:asciiTheme="minorHAnsi" w:hAnsiTheme="minorHAnsi" w:cstheme="minorHAnsi"/>
          <w:sz w:val="24"/>
          <w:szCs w:val="24"/>
        </w:rPr>
      </w:pPr>
    </w:p>
    <w:p w14:paraId="17BEF177" w14:textId="13421F60" w:rsidR="00AD7516" w:rsidRPr="003969B3" w:rsidRDefault="00AD7516">
      <w:pPr>
        <w:ind w:left="-15" w:firstLine="708"/>
        <w:rPr>
          <w:rFonts w:asciiTheme="minorHAnsi" w:hAnsiTheme="minorHAnsi" w:cstheme="minorHAnsi"/>
          <w:sz w:val="24"/>
          <w:szCs w:val="24"/>
        </w:rPr>
      </w:pPr>
    </w:p>
    <w:p w14:paraId="6ABA61BE" w14:textId="77777777" w:rsidR="00AD7516" w:rsidRPr="003969B3" w:rsidRDefault="00AD7516">
      <w:pPr>
        <w:ind w:left="-15" w:firstLine="708"/>
        <w:rPr>
          <w:rFonts w:asciiTheme="minorHAnsi" w:hAnsiTheme="minorHAnsi" w:cstheme="minorHAnsi"/>
          <w:sz w:val="24"/>
          <w:szCs w:val="24"/>
        </w:rPr>
      </w:pPr>
    </w:p>
    <w:p w14:paraId="5ACEF417" w14:textId="77777777" w:rsidR="00A26E6D" w:rsidRPr="003969B3" w:rsidRDefault="004962FA">
      <w:pPr>
        <w:spacing w:after="0" w:line="259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76EFE5" w14:textId="77777777" w:rsidR="00A26E6D" w:rsidRPr="003969B3" w:rsidRDefault="004962FA" w:rsidP="006A47D5">
      <w:pPr>
        <w:pStyle w:val="Heading1"/>
        <w:spacing w:line="25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lastRenderedPageBreak/>
        <w:t>PODMIENKY SÚBEHU</w:t>
      </w:r>
    </w:p>
    <w:p w14:paraId="7DDE005A" w14:textId="77777777" w:rsidR="00A26E6D" w:rsidRPr="003969B3" w:rsidRDefault="00A26E6D" w:rsidP="006A47D5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48C06692" w14:textId="77777777" w:rsidR="00A26E6D" w:rsidRPr="003969B3" w:rsidRDefault="004962FA" w:rsidP="003626A6">
      <w:pPr>
        <w:pStyle w:val="Heading2"/>
        <w:numPr>
          <w:ilvl w:val="0"/>
          <w:numId w:val="8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>Žiadatelia</w:t>
      </w:r>
    </w:p>
    <w:p w14:paraId="182BBBD8" w14:textId="77777777" w:rsidR="003626A6" w:rsidRPr="003969B3" w:rsidRDefault="003626A6" w:rsidP="003626A6">
      <w:pPr>
        <w:rPr>
          <w:rFonts w:asciiTheme="minorHAnsi" w:hAnsiTheme="minorHAnsi" w:cstheme="minorHAnsi"/>
        </w:rPr>
      </w:pPr>
    </w:p>
    <w:p w14:paraId="60D207E9" w14:textId="6F2320B5" w:rsidR="00A26E6D" w:rsidRPr="003969B3" w:rsidRDefault="004962FA">
      <w:pPr>
        <w:ind w:left="-15" w:firstLine="708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Právo účasti na súbehu majú základné školy so sídlom na území AP Vojvodiny, založené Srbskou republikou, autonómnou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pokrajinou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alebo jednotkou lokálnej samosprávy. Uvedené finančné prostriedky sú určené na zvýšenie kvality výchovno-vzdelávacieho procesu základného vzdelávania a výchovy – náklady na pobyt a dopravu žiakov tretieho ročníka základných škôl z územia Autonómnej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pokrajiny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Vojvodiny a angažovanie ich učiteľov ako sprievodcov na realizáciu všetkých plánovaných aktivít </w:t>
      </w:r>
      <w:r w:rsidR="003969B3">
        <w:rPr>
          <w:rFonts w:asciiTheme="minorHAnsi" w:hAnsiTheme="minorHAnsi" w:cstheme="minorHAnsi"/>
          <w:sz w:val="24"/>
          <w:szCs w:val="24"/>
        </w:rPr>
        <w:t xml:space="preserve">v Kreatívnom centre </w:t>
      </w:r>
      <w:proofErr w:type="spellStart"/>
      <w:r w:rsidR="003969B3">
        <w:rPr>
          <w:rFonts w:asciiTheme="minorHAnsi" w:hAnsiTheme="minorHAnsi" w:cstheme="minorHAnsi"/>
          <w:sz w:val="24"/>
          <w:szCs w:val="24"/>
        </w:rPr>
        <w:t>Hertelendy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Bajić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Bočari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, ktoré sa budú konať v období marec – jún 2026. </w:t>
      </w:r>
    </w:p>
    <w:p w14:paraId="7486698E" w14:textId="77777777" w:rsidR="003626A6" w:rsidRPr="003969B3" w:rsidRDefault="003626A6">
      <w:pPr>
        <w:ind w:left="-15" w:firstLine="708"/>
        <w:rPr>
          <w:rFonts w:asciiTheme="minorHAnsi" w:hAnsiTheme="minorHAnsi" w:cstheme="minorHAnsi"/>
          <w:sz w:val="24"/>
          <w:szCs w:val="24"/>
        </w:rPr>
      </w:pPr>
    </w:p>
    <w:p w14:paraId="638C6CB6" w14:textId="77777777" w:rsidR="00A26E6D" w:rsidRPr="003969B3" w:rsidRDefault="004962FA" w:rsidP="006A47D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 </w:t>
      </w:r>
      <w:r w:rsidRPr="003969B3">
        <w:rPr>
          <w:rFonts w:asciiTheme="minorHAnsi" w:hAnsiTheme="minorHAnsi" w:cstheme="minorHAnsi"/>
          <w:sz w:val="24"/>
          <w:szCs w:val="24"/>
        </w:rPr>
        <w:tab/>
        <w:t xml:space="preserve">Základné školy sa môžu uchádzať o: </w:t>
      </w:r>
    </w:p>
    <w:p w14:paraId="3B7C315D" w14:textId="77777777" w:rsidR="00C34A15" w:rsidRPr="003969B3" w:rsidRDefault="00C34A15" w:rsidP="00A81FAC">
      <w:pPr>
        <w:spacing w:after="0" w:line="240" w:lineRule="auto"/>
        <w:ind w:left="0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50E3660A" w14:textId="2DAC0658" w:rsidR="00A81FAC" w:rsidRPr="003969B3" w:rsidRDefault="00A81FAC" w:rsidP="00A81FAC">
      <w:pPr>
        <w:spacing w:after="0" w:line="240" w:lineRule="auto"/>
        <w:ind w:left="0" w:firstLine="708"/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</w:pPr>
      <w:r w:rsidRPr="003969B3">
        <w:rPr>
          <w:rFonts w:asciiTheme="minorHAnsi" w:hAnsiTheme="minorHAnsi" w:cstheme="minorHAnsi"/>
          <w:color w:val="auto"/>
          <w:sz w:val="24"/>
          <w:szCs w:val="24"/>
        </w:rPr>
        <w:t>1) náklady na ubytovanie a stravu pre maximálne 28 žiakov tretieho ročníka, na ich účasť na plánovaných aktivitách, na 4 plné penzióny (začínajúc obedom v pondelok, končiac raňajkami v piatok);</w:t>
      </w:r>
    </w:p>
    <w:p w14:paraId="3ECE64C6" w14:textId="77777777" w:rsidR="00A81FAC" w:rsidRPr="003969B3" w:rsidRDefault="00A81FAC" w:rsidP="00A81FAC">
      <w:pPr>
        <w:spacing w:after="0" w:line="240" w:lineRule="auto"/>
        <w:ind w:left="0" w:firstLine="708"/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>2) náklady na pobyt a úhrada za angažovanie učiteľov ako sprievodcov žiakov (1 učiteľ – sprievodca na 15 žiakov);</w:t>
      </w:r>
    </w:p>
    <w:p w14:paraId="0EFCE34A" w14:textId="77777777" w:rsidR="00A81FAC" w:rsidRPr="003969B3" w:rsidRDefault="00A81FAC" w:rsidP="00A81FAC">
      <w:pPr>
        <w:spacing w:after="0" w:line="240" w:lineRule="auto"/>
        <w:ind w:left="0" w:firstLine="708"/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</w:pPr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3) náklady na dopravu žiakov a ich učiteľov – sprievodcov do Kreatívneho centra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Hertelendy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Bajić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v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Bočari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>, ako aj náklady na spiatočnú cestu;</w:t>
      </w:r>
    </w:p>
    <w:p w14:paraId="16A83BD1" w14:textId="77777777" w:rsidR="00A81FAC" w:rsidRPr="003969B3" w:rsidRDefault="00A81FAC" w:rsidP="00A81FAC">
      <w:pPr>
        <w:spacing w:after="0" w:line="240" w:lineRule="auto"/>
        <w:ind w:left="0" w:firstLine="708"/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</w:pPr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4) náklady na dopravu, ubytovanie, stravu a úhrada za angažovanie učiteľa – sprievodcu a osobného sprievodcu (pre školy pre deti s vývinovými poruchami). </w:t>
      </w:r>
    </w:p>
    <w:p w14:paraId="26686FD9" w14:textId="77777777" w:rsidR="003626A6" w:rsidRPr="003969B3" w:rsidRDefault="003626A6" w:rsidP="003626A6">
      <w:pPr>
        <w:pStyle w:val="ListParagraph"/>
        <w:spacing w:after="0" w:line="240" w:lineRule="auto"/>
        <w:ind w:left="1068" w:firstLine="0"/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</w:pPr>
    </w:p>
    <w:p w14:paraId="0F978DA2" w14:textId="77777777" w:rsidR="00A26E6D" w:rsidRPr="003969B3" w:rsidRDefault="004962FA" w:rsidP="006A47D5">
      <w:pPr>
        <w:spacing w:after="0" w:line="240" w:lineRule="auto"/>
        <w:ind w:firstLine="683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Plánované aktivity budú organizované podľa harmonogramu, ktorý vypracuje sekretariát.  </w:t>
      </w:r>
    </w:p>
    <w:p w14:paraId="4421435D" w14:textId="77777777" w:rsidR="003626A6" w:rsidRPr="003969B3" w:rsidRDefault="003626A6" w:rsidP="006A47D5">
      <w:pPr>
        <w:spacing w:after="0" w:line="240" w:lineRule="auto"/>
        <w:ind w:firstLine="683"/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</w:pPr>
    </w:p>
    <w:p w14:paraId="4B221383" w14:textId="11192F51" w:rsidR="00A26E6D" w:rsidRPr="003969B3" w:rsidRDefault="004962FA">
      <w:pPr>
        <w:spacing w:after="51"/>
        <w:ind w:left="-15" w:firstLine="708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Finančnou podporou, ktorá sa týmto súbehom poskytuje, sa chráni verejný záujem určený ustanoveniami článku 6, 7, 8 a 9 Zákona o základoch systému vzdelávania a výchovy (vestník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Službeni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glasnik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RS č. 88/2017, 27/2018 – iné zákony, 10/2019, 6/2020, 129/2021, 92/2023 a 19/2025). </w:t>
      </w:r>
    </w:p>
    <w:p w14:paraId="7553626D" w14:textId="77777777" w:rsidR="00A26E6D" w:rsidRPr="003969B3" w:rsidRDefault="004962FA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AF3E7A3" w14:textId="77777777" w:rsidR="00A26E6D" w:rsidRPr="003969B3" w:rsidRDefault="004962FA" w:rsidP="003626A6">
      <w:pPr>
        <w:pStyle w:val="Heading2"/>
        <w:numPr>
          <w:ilvl w:val="0"/>
          <w:numId w:val="8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>Kritériá pridelenia finančných prostriedkov</w:t>
      </w:r>
    </w:p>
    <w:p w14:paraId="1A0A0B65" w14:textId="77777777" w:rsidR="003626A6" w:rsidRPr="003969B3" w:rsidRDefault="003626A6" w:rsidP="003626A6">
      <w:pPr>
        <w:pStyle w:val="ListParagraph"/>
        <w:ind w:left="345" w:firstLine="0"/>
        <w:rPr>
          <w:rFonts w:asciiTheme="minorHAnsi" w:hAnsiTheme="minorHAnsi" w:cstheme="minorHAnsi"/>
        </w:rPr>
      </w:pPr>
    </w:p>
    <w:p w14:paraId="274EC049" w14:textId="59D82A96" w:rsidR="003626A6" w:rsidRPr="003969B3" w:rsidRDefault="004962FA" w:rsidP="00AD7516">
      <w:pPr>
        <w:tabs>
          <w:tab w:val="left" w:pos="630"/>
        </w:tabs>
        <w:spacing w:after="0" w:line="259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Kritériá na rozdelenie finančných prostriedkov podľa Pravidiel o prideľovaní rozpočtových prostriedkov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Pokrajinského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sekretariátu vzdelávania, predpisov, správy a národnostných menšín – národnostných spoločenstiev na financovanie a spolufinancovanie projektu v oblasti zvyšovania kvality výchovno-vzdelávacieho procesu základného vzdelávania – náklady na pobyt a dopravu žiakov tretieho ročníka základných škôl z územia Autonómnej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pokrajiny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Vojvodiny a angažovanie ich učiteľov ako sprievodcov v Kreatívnom centre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Hertelendy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Bajić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Bočari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v období marec – jún 2026 sú:  </w:t>
      </w:r>
    </w:p>
    <w:p w14:paraId="54E699ED" w14:textId="77777777" w:rsidR="00C34A15" w:rsidRPr="003969B3" w:rsidRDefault="00C34A15" w:rsidP="00AD7516">
      <w:pPr>
        <w:tabs>
          <w:tab w:val="left" w:pos="630"/>
        </w:tabs>
        <w:spacing w:after="0" w:line="259" w:lineRule="auto"/>
        <w:ind w:left="0" w:firstLine="720"/>
        <w:rPr>
          <w:rFonts w:asciiTheme="minorHAnsi" w:hAnsiTheme="minorHAnsi" w:cstheme="minorHAnsi"/>
          <w:sz w:val="24"/>
          <w:szCs w:val="24"/>
        </w:rPr>
      </w:pPr>
    </w:p>
    <w:p w14:paraId="13337D40" w14:textId="4B20B942" w:rsidR="003C4A97" w:rsidRPr="003969B3" w:rsidRDefault="00120BDB" w:rsidP="006C3459">
      <w:pPr>
        <w:pStyle w:val="ListParagraph"/>
        <w:numPr>
          <w:ilvl w:val="0"/>
          <w:numId w:val="9"/>
        </w:numPr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stupeň rozvoja lokálnej</w:t>
      </w:r>
      <w:r w:rsidR="003C4A97" w:rsidRPr="003969B3">
        <w:rPr>
          <w:rFonts w:asciiTheme="minorHAnsi" w:hAnsiTheme="minorHAnsi" w:cstheme="minorHAnsi"/>
          <w:sz w:val="24"/>
          <w:szCs w:val="24"/>
        </w:rPr>
        <w:t xml:space="preserve"> samosprávy, na ktorej území škola sídli;</w:t>
      </w:r>
    </w:p>
    <w:p w14:paraId="3958B3BA" w14:textId="2BEFCC47" w:rsidR="003C4A97" w:rsidRPr="003969B3" w:rsidRDefault="00120BDB" w:rsidP="006C3459">
      <w:pPr>
        <w:pStyle w:val="ListParagraph"/>
        <w:numPr>
          <w:ilvl w:val="0"/>
          <w:numId w:val="9"/>
        </w:numPr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š</w:t>
      </w:r>
      <w:r w:rsidR="003C4A97" w:rsidRPr="003969B3">
        <w:rPr>
          <w:rFonts w:asciiTheme="minorHAnsi" w:hAnsiTheme="minorHAnsi" w:cstheme="minorHAnsi"/>
          <w:sz w:val="24"/>
          <w:szCs w:val="24"/>
        </w:rPr>
        <w:t>koly, ktoré podporujú kult</w:t>
      </w:r>
      <w:r>
        <w:rPr>
          <w:rFonts w:asciiTheme="minorHAnsi" w:hAnsiTheme="minorHAnsi" w:cstheme="minorHAnsi"/>
          <w:sz w:val="24"/>
          <w:szCs w:val="24"/>
        </w:rPr>
        <w:t xml:space="preserve">úru a tradície </w:t>
      </w:r>
      <w:proofErr w:type="spellStart"/>
      <w:r>
        <w:rPr>
          <w:rFonts w:asciiTheme="minorHAnsi" w:hAnsiTheme="minorHAnsi" w:cstheme="minorHAnsi"/>
          <w:sz w:val="24"/>
          <w:szCs w:val="24"/>
        </w:rPr>
        <w:t>multikultúrnosti</w:t>
      </w:r>
      <w:proofErr w:type="spellEnd"/>
      <w:r w:rsidR="003C4A97" w:rsidRPr="003969B3">
        <w:rPr>
          <w:rFonts w:asciiTheme="minorHAnsi" w:hAnsiTheme="minorHAnsi" w:cstheme="minorHAnsi"/>
          <w:sz w:val="24"/>
          <w:szCs w:val="24"/>
        </w:rPr>
        <w:t xml:space="preserve"> (podporuje sa jazyk a kultúra národnostných menšín – národnostných spoločenstiev v APV, organizujú sa podujatia a di</w:t>
      </w:r>
      <w:r>
        <w:rPr>
          <w:rFonts w:asciiTheme="minorHAnsi" w:hAnsiTheme="minorHAnsi" w:cstheme="minorHAnsi"/>
          <w:sz w:val="24"/>
          <w:szCs w:val="24"/>
        </w:rPr>
        <w:t xml:space="preserve">skusie na tému </w:t>
      </w:r>
      <w:proofErr w:type="spellStart"/>
      <w:r>
        <w:rPr>
          <w:rFonts w:asciiTheme="minorHAnsi" w:hAnsiTheme="minorHAnsi" w:cstheme="minorHAnsi"/>
          <w:sz w:val="24"/>
          <w:szCs w:val="24"/>
        </w:rPr>
        <w:t>multikultúrnosti</w:t>
      </w:r>
      <w:proofErr w:type="spellEnd"/>
      <w:r w:rsidR="003C4A97" w:rsidRPr="003969B3">
        <w:rPr>
          <w:rFonts w:asciiTheme="minorHAnsi" w:hAnsiTheme="minorHAnsi" w:cstheme="minorHAnsi"/>
          <w:sz w:val="24"/>
          <w:szCs w:val="24"/>
        </w:rPr>
        <w:t xml:space="preserve"> a pod.);</w:t>
      </w:r>
    </w:p>
    <w:p w14:paraId="12EFFBEA" w14:textId="6D76C84B" w:rsidR="006C3459" w:rsidRPr="003969B3" w:rsidRDefault="00120BDB" w:rsidP="00AD7516">
      <w:pPr>
        <w:pStyle w:val="ListParagraph"/>
        <w:numPr>
          <w:ilvl w:val="0"/>
          <w:numId w:val="9"/>
        </w:numPr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C4A97" w:rsidRPr="003969B3">
        <w:rPr>
          <w:rFonts w:asciiTheme="minorHAnsi" w:hAnsiTheme="minorHAnsi" w:cstheme="minorHAnsi"/>
          <w:sz w:val="24"/>
          <w:szCs w:val="24"/>
        </w:rPr>
        <w:t xml:space="preserve">redchádzajúce skúsenosti so spoluprácou s inštitúciou. </w:t>
      </w:r>
    </w:p>
    <w:p w14:paraId="62599ECD" w14:textId="77777777" w:rsidR="00C34A15" w:rsidRPr="003969B3" w:rsidRDefault="00C34A15" w:rsidP="006A47D5">
      <w:pPr>
        <w:pStyle w:val="Heading1"/>
        <w:spacing w:line="25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1BA00E3C" w14:textId="267E9CFF" w:rsidR="00A26E6D" w:rsidRPr="003969B3" w:rsidRDefault="004962FA" w:rsidP="006A47D5">
      <w:pPr>
        <w:pStyle w:val="Heading1"/>
        <w:spacing w:line="25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>SPÔSOB PODÁVANIA PRIHLÁŠKY</w:t>
      </w:r>
    </w:p>
    <w:p w14:paraId="664EDF8C" w14:textId="77777777" w:rsidR="00A26E6D" w:rsidRPr="003969B3" w:rsidRDefault="004962FA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7AE2F032" w14:textId="659EBFC0" w:rsidR="00A26E6D" w:rsidRPr="003969B3" w:rsidRDefault="00120BDB" w:rsidP="006A47D5">
      <w:pPr>
        <w:ind w:left="-5" w:firstLine="725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Prihlášky</w:t>
      </w:r>
      <w:r w:rsidR="004962FA"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o pridelenie finančných prostriedkov sa predkladajú na jednotnom tlačive sekretariátu (jedna usta</w:t>
      </w:r>
      <w:r>
        <w:rPr>
          <w:rFonts w:asciiTheme="minorHAnsi" w:hAnsiTheme="minorHAnsi" w:cstheme="minorHAnsi"/>
          <w:color w:val="auto"/>
          <w:sz w:val="24"/>
          <w:szCs w:val="24"/>
        </w:rPr>
        <w:t>novizeň podáva len jednu prihlášku</w:t>
      </w:r>
      <w:r w:rsidR="004962FA"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). </w:t>
      </w:r>
      <w:r w:rsidR="004962FA" w:rsidRPr="003969B3">
        <w:rPr>
          <w:rFonts w:asciiTheme="minorHAnsi" w:hAnsiTheme="minorHAnsi" w:cstheme="minorHAnsi"/>
          <w:sz w:val="24"/>
          <w:szCs w:val="24"/>
        </w:rPr>
        <w:t xml:space="preserve">Kompletnú súbehovú dokumentáciu je možné prebrať od </w:t>
      </w:r>
      <w:r w:rsidR="004962FA" w:rsidRPr="003969B3">
        <w:rPr>
          <w:rFonts w:asciiTheme="minorHAnsi" w:hAnsiTheme="minorHAnsi" w:cstheme="minorHAnsi"/>
          <w:b/>
          <w:bCs/>
          <w:sz w:val="24"/>
          <w:szCs w:val="24"/>
          <w:u w:val="single"/>
        </w:rPr>
        <w:t>26. januára 2026</w:t>
      </w:r>
      <w:r>
        <w:rPr>
          <w:rFonts w:asciiTheme="minorHAnsi" w:hAnsiTheme="minorHAnsi" w:cstheme="minorHAnsi"/>
          <w:sz w:val="24"/>
          <w:szCs w:val="24"/>
        </w:rPr>
        <w:t xml:space="preserve"> z webovej stránky</w:t>
      </w:r>
      <w:r w:rsidR="004962FA" w:rsidRPr="003969B3">
        <w:rPr>
          <w:rFonts w:asciiTheme="minorHAnsi" w:hAnsiTheme="minorHAnsi" w:cstheme="minorHAnsi"/>
          <w:sz w:val="24"/>
          <w:szCs w:val="24"/>
        </w:rPr>
        <w:t xml:space="preserve"> sekretariátu</w:t>
      </w:r>
      <w:r w:rsidR="004962FA"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hyperlink r:id="rId7">
        <w:r w:rsidR="004962FA" w:rsidRPr="003969B3">
          <w:rPr>
            <w:rFonts w:asciiTheme="minorHAnsi" w:hAnsiTheme="minorHAnsi" w:cstheme="minorHAnsi"/>
            <w:b/>
            <w:color w:val="auto"/>
            <w:sz w:val="24"/>
            <w:szCs w:val="24"/>
            <w:u w:val="single" w:color="000000"/>
          </w:rPr>
          <w:t>www.puma.vojvodina.gov.rs</w:t>
        </w:r>
      </w:hyperlink>
      <w:hyperlink r:id="rId8">
        <w:r w:rsidRPr="00120BDB">
          <w:rPr>
            <w:rFonts w:asciiTheme="minorHAnsi" w:hAnsiTheme="minorHAnsi" w:cstheme="minorHAnsi"/>
            <w:color w:val="auto"/>
            <w:sz w:val="24"/>
            <w:szCs w:val="24"/>
          </w:rPr>
          <w:t>.</w:t>
        </w:r>
      </w:hyperlink>
    </w:p>
    <w:p w14:paraId="6F25B568" w14:textId="77777777" w:rsidR="003626A6" w:rsidRPr="003969B3" w:rsidRDefault="003626A6" w:rsidP="006A47D5">
      <w:pPr>
        <w:ind w:left="-5" w:firstLine="725"/>
        <w:rPr>
          <w:rFonts w:asciiTheme="minorHAnsi" w:hAnsiTheme="minorHAnsi" w:cstheme="minorHAnsi"/>
          <w:color w:val="auto"/>
          <w:sz w:val="24"/>
          <w:szCs w:val="24"/>
        </w:rPr>
      </w:pPr>
    </w:p>
    <w:p w14:paraId="14AD51BE" w14:textId="12A494B7" w:rsidR="00A26E6D" w:rsidRPr="003969B3" w:rsidRDefault="00120BDB" w:rsidP="003626A6">
      <w:pPr>
        <w:spacing w:after="0" w:line="259" w:lineRule="auto"/>
        <w:ind w:left="0" w:firstLine="693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Prihlášky</w:t>
      </w:r>
      <w:r w:rsidR="004962FA"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sa doručujú poštou na adresu: </w:t>
      </w:r>
      <w:proofErr w:type="spellStart"/>
      <w:r w:rsidR="004962FA" w:rsidRPr="003969B3">
        <w:rPr>
          <w:rFonts w:asciiTheme="minorHAnsi" w:hAnsiTheme="minorHAnsi" w:cstheme="minorHAnsi"/>
          <w:b/>
          <w:bCs/>
          <w:color w:val="auto"/>
          <w:sz w:val="24"/>
          <w:szCs w:val="24"/>
        </w:rPr>
        <w:t>Pokrajinský</w:t>
      </w:r>
      <w:proofErr w:type="spellEnd"/>
      <w:r w:rsidR="004962FA" w:rsidRPr="003969B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sekretariát vzdelávania, predpisov, správy a národnostných menšín – národnostných spoločenstiev s poznámkou „Pre súbeh – na financovanie a spolufinancovanie projektu v oblasti zvýšenia kvality výchovno-vzdelávacieho procesu základného vzdelávania – náklady na pobyt a dopravu žiakov tretieho ročníka základných škôl z územia Autonómnej </w:t>
      </w:r>
      <w:proofErr w:type="spellStart"/>
      <w:r w:rsidR="004962FA" w:rsidRPr="003969B3">
        <w:rPr>
          <w:rFonts w:asciiTheme="minorHAnsi" w:hAnsiTheme="minorHAnsi" w:cstheme="minorHAnsi"/>
          <w:b/>
          <w:bCs/>
          <w:color w:val="auto"/>
          <w:sz w:val="24"/>
          <w:szCs w:val="24"/>
        </w:rPr>
        <w:t>pokrajiny</w:t>
      </w:r>
      <w:proofErr w:type="spellEnd"/>
      <w:r w:rsidR="004962FA" w:rsidRPr="003969B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Vojvodiny a angažovanie ich učiteľov ako sprievodcov v Kreatívnom cen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tre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Hertelendy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Bajić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Bočari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 období marec – jún 2026</w:t>
      </w:r>
      <w:r w:rsidR="004962FA" w:rsidRPr="003969B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Bulvár </w:t>
      </w:r>
      <w:proofErr w:type="spellStart"/>
      <w:r w:rsidR="004962FA" w:rsidRPr="003969B3">
        <w:rPr>
          <w:rFonts w:asciiTheme="minorHAnsi" w:hAnsiTheme="minorHAnsi" w:cstheme="minorHAnsi"/>
          <w:b/>
          <w:bCs/>
          <w:color w:val="auto"/>
          <w:sz w:val="24"/>
          <w:szCs w:val="24"/>
        </w:rPr>
        <w:t>Mihajla</w:t>
      </w:r>
      <w:proofErr w:type="spellEnd"/>
      <w:r w:rsidR="004962FA" w:rsidRPr="003969B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4962FA" w:rsidRPr="003969B3">
        <w:rPr>
          <w:rFonts w:asciiTheme="minorHAnsi" w:hAnsiTheme="minorHAnsi" w:cstheme="minorHAnsi"/>
          <w:b/>
          <w:bCs/>
          <w:color w:val="auto"/>
          <w:sz w:val="24"/>
          <w:szCs w:val="24"/>
        </w:rPr>
        <w:t>Pupina</w:t>
      </w:r>
      <w:proofErr w:type="spellEnd"/>
      <w:r w:rsidR="004962FA" w:rsidRPr="003969B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16, 21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962FA" w:rsidRPr="003969B3">
        <w:rPr>
          <w:rFonts w:asciiTheme="minorHAnsi" w:hAnsiTheme="minorHAnsi" w:cstheme="minorHAnsi"/>
          <w:b/>
          <w:bCs/>
          <w:color w:val="auto"/>
          <w:sz w:val="24"/>
          <w:szCs w:val="24"/>
        </w:rPr>
        <w:t>000 Nový Sad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962FA"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alebo sa podajú osobne odovzdaním na podateľni </w:t>
      </w:r>
      <w:proofErr w:type="spellStart"/>
      <w:r w:rsidR="004962FA" w:rsidRPr="003969B3">
        <w:rPr>
          <w:rFonts w:asciiTheme="minorHAnsi" w:hAnsiTheme="minorHAnsi" w:cstheme="minorHAnsi"/>
          <w:color w:val="auto"/>
          <w:sz w:val="24"/>
          <w:szCs w:val="24"/>
        </w:rPr>
        <w:t>pokrajinských</w:t>
      </w:r>
      <w:proofErr w:type="spellEnd"/>
      <w:r w:rsidR="004962FA"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správnych orgánov v Novom Sade (na prízemí budovy </w:t>
      </w:r>
      <w:proofErr w:type="spellStart"/>
      <w:r w:rsidR="004962FA" w:rsidRPr="003969B3">
        <w:rPr>
          <w:rFonts w:asciiTheme="minorHAnsi" w:hAnsiTheme="minorHAnsi" w:cstheme="minorHAnsi"/>
          <w:color w:val="auto"/>
          <w:sz w:val="24"/>
          <w:szCs w:val="24"/>
        </w:rPr>
        <w:t>Pokrajinskej</w:t>
      </w:r>
      <w:proofErr w:type="spellEnd"/>
      <w:r w:rsidR="004962FA"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vlády).</w:t>
      </w:r>
      <w:r w:rsidR="004962FA" w:rsidRPr="003969B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</w:t>
      </w:r>
    </w:p>
    <w:p w14:paraId="58259C58" w14:textId="77777777" w:rsidR="003626A6" w:rsidRPr="003969B3" w:rsidRDefault="003626A6" w:rsidP="003626A6">
      <w:pPr>
        <w:spacing w:after="0" w:line="259" w:lineRule="auto"/>
        <w:ind w:left="0" w:firstLine="693"/>
        <w:rPr>
          <w:rFonts w:asciiTheme="minorHAnsi" w:hAnsiTheme="minorHAnsi" w:cstheme="minorHAnsi"/>
          <w:color w:val="auto"/>
          <w:sz w:val="24"/>
          <w:szCs w:val="24"/>
        </w:rPr>
      </w:pPr>
    </w:p>
    <w:p w14:paraId="35EBD042" w14:textId="77777777" w:rsidR="003C4A97" w:rsidRPr="003969B3" w:rsidRDefault="004962FA" w:rsidP="003C4A97">
      <w:pPr>
        <w:spacing w:after="60"/>
        <w:ind w:firstLine="708"/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</w:pPr>
      <w:r w:rsidRPr="003969B3">
        <w:rPr>
          <w:rFonts w:asciiTheme="minorHAnsi" w:hAnsiTheme="minorHAnsi" w:cstheme="minorHAnsi"/>
          <w:color w:val="auto"/>
          <w:sz w:val="24"/>
          <w:szCs w:val="24"/>
        </w:rPr>
        <w:t>Spolu s prihláškou na súbeh sa predkladá vyplnená jednotná prihláška s uvedením počtu žiakov, o ktorých sa škola uchádza (v časti prihlášky týkajúcej sa žiakov – uvádza sa iba počet žiakov bez uvedenia osobných údajov žiakov a v časti prihlášky týkajúcej sa učiteľa je potrebné, bez uvedenia osobných údajov, uviesť počet učiteľov – sprievodcov a pohlavie).</w:t>
      </w:r>
    </w:p>
    <w:p w14:paraId="32A14A38" w14:textId="77777777" w:rsidR="00A26E6D" w:rsidRPr="003969B3" w:rsidRDefault="00A26E6D">
      <w:pPr>
        <w:spacing w:after="51"/>
        <w:ind w:left="-15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70A922CD" w14:textId="77777777" w:rsidR="00A26E6D" w:rsidRPr="003969B3" w:rsidRDefault="004962FA">
      <w:pPr>
        <w:spacing w:after="51"/>
        <w:ind w:left="-15" w:firstLine="708"/>
        <w:rPr>
          <w:rFonts w:asciiTheme="minorHAnsi" w:hAnsiTheme="minorHAnsi" w:cstheme="minorHAnsi"/>
          <w:color w:val="auto"/>
          <w:sz w:val="24"/>
          <w:szCs w:val="24"/>
        </w:rPr>
      </w:pPr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Spolu s prihláškou na súbeh sa predkladá aj nezáväzná ponuka týkajúca sa ceny organizovanej dopravy žiakov a ich učiteľov do Kreatívneho centra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Hertelendy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Bajić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v </w:t>
      </w:r>
      <w:proofErr w:type="spellStart"/>
      <w:r w:rsidRPr="003969B3">
        <w:rPr>
          <w:rFonts w:asciiTheme="minorHAnsi" w:hAnsiTheme="minorHAnsi" w:cstheme="minorHAnsi"/>
          <w:color w:val="auto"/>
          <w:sz w:val="24"/>
          <w:szCs w:val="24"/>
        </w:rPr>
        <w:t>Bočari</w:t>
      </w:r>
      <w:proofErr w:type="spellEnd"/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, ako aj nákladov na spiatočnú dopravu. </w:t>
      </w:r>
    </w:p>
    <w:p w14:paraId="23A91839" w14:textId="77777777" w:rsidR="003626A6" w:rsidRPr="003969B3" w:rsidRDefault="003626A6">
      <w:pPr>
        <w:spacing w:after="51"/>
        <w:ind w:left="-15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58CE6B7C" w14:textId="5757CD77" w:rsidR="003626A6" w:rsidRPr="003969B3" w:rsidRDefault="0001352B" w:rsidP="00AD7516">
      <w:pPr>
        <w:spacing w:after="51"/>
        <w:ind w:left="-15" w:firstLine="708"/>
        <w:rPr>
          <w:rFonts w:asciiTheme="minorHAnsi" w:hAnsiTheme="minorHAnsi" w:cstheme="minorHAnsi"/>
          <w:color w:val="auto"/>
          <w:sz w:val="24"/>
          <w:szCs w:val="24"/>
        </w:rPr>
      </w:pPr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Základné školy pre deti s vývinovými </w:t>
      </w:r>
      <w:r w:rsidR="00865099">
        <w:rPr>
          <w:rFonts w:asciiTheme="minorHAnsi" w:hAnsiTheme="minorHAnsi" w:cstheme="minorHAnsi"/>
          <w:color w:val="auto"/>
          <w:sz w:val="24"/>
          <w:szCs w:val="24"/>
        </w:rPr>
        <w:t>poruchami spolu s prihláškou</w:t>
      </w:r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a vyššie uvedenou ponukou na cenu organizovanej dopravy predkladajú aj právny akt upravujúci sprievod žiakov.</w:t>
      </w:r>
    </w:p>
    <w:p w14:paraId="094E9A4A" w14:textId="77777777" w:rsidR="00AD7516" w:rsidRPr="003969B3" w:rsidRDefault="00AD7516" w:rsidP="00AD7516">
      <w:pPr>
        <w:spacing w:after="51"/>
        <w:ind w:left="-15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01FE59E1" w14:textId="676C3295" w:rsidR="00A26E6D" w:rsidRPr="003969B3" w:rsidRDefault="004962FA">
      <w:pPr>
        <w:ind w:left="-15" w:firstLine="708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>Doklady o splnení požiadaviek na žiakov a učiteľov základné školy predkladajú na požiadanie sekretariátu pri zostavovaní harmonogramu účasti a riaditeľ školy zodpovedá za správnosť údajov uvedených v</w:t>
      </w:r>
      <w:r w:rsidR="00865099">
        <w:rPr>
          <w:rFonts w:asciiTheme="minorHAnsi" w:hAnsiTheme="minorHAnsi" w:cstheme="minorHAnsi"/>
          <w:sz w:val="24"/>
          <w:szCs w:val="24"/>
        </w:rPr>
        <w:t> </w:t>
      </w:r>
      <w:r w:rsidRPr="003969B3">
        <w:rPr>
          <w:rFonts w:asciiTheme="minorHAnsi" w:hAnsiTheme="minorHAnsi" w:cstheme="minorHAnsi"/>
          <w:sz w:val="24"/>
          <w:szCs w:val="24"/>
        </w:rPr>
        <w:t>tlačive</w:t>
      </w:r>
      <w:r w:rsidR="00865099">
        <w:rPr>
          <w:rFonts w:asciiTheme="minorHAnsi" w:hAnsiTheme="minorHAnsi" w:cstheme="minorHAnsi"/>
          <w:sz w:val="24"/>
          <w:szCs w:val="24"/>
        </w:rPr>
        <w:t xml:space="preserve"> prihlášky</w:t>
      </w:r>
      <w:r w:rsidRPr="003969B3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5CABA73" w14:textId="77777777" w:rsidR="003626A6" w:rsidRPr="003969B3" w:rsidRDefault="003626A6">
      <w:pPr>
        <w:ind w:left="-15" w:firstLine="708"/>
        <w:rPr>
          <w:rFonts w:asciiTheme="minorHAnsi" w:hAnsiTheme="minorHAnsi" w:cstheme="minorHAnsi"/>
          <w:sz w:val="24"/>
          <w:szCs w:val="24"/>
        </w:rPr>
      </w:pPr>
    </w:p>
    <w:p w14:paraId="1D5F799D" w14:textId="10710F92" w:rsidR="00A26E6D" w:rsidRPr="003969B3" w:rsidRDefault="00865099">
      <w:pPr>
        <w:ind w:left="-15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 je prihláška</w:t>
      </w:r>
      <w:r w:rsidR="004962FA" w:rsidRPr="003969B3">
        <w:rPr>
          <w:rFonts w:asciiTheme="minorHAnsi" w:hAnsiTheme="minorHAnsi" w:cstheme="minorHAnsi"/>
          <w:sz w:val="24"/>
          <w:szCs w:val="24"/>
        </w:rPr>
        <w:t xml:space="preserve"> podpísaná osobou na základe oprávnenia, je potrebné pripojiť náležité oprávnenie pre jej podpisovanie. </w:t>
      </w:r>
    </w:p>
    <w:p w14:paraId="373AE60F" w14:textId="77777777" w:rsidR="00AD7516" w:rsidRPr="003969B3" w:rsidRDefault="00AD7516">
      <w:pPr>
        <w:ind w:left="-15" w:firstLine="708"/>
        <w:rPr>
          <w:rFonts w:asciiTheme="minorHAnsi" w:hAnsiTheme="minorHAnsi" w:cstheme="minorHAnsi"/>
          <w:sz w:val="24"/>
          <w:szCs w:val="24"/>
        </w:rPr>
      </w:pPr>
    </w:p>
    <w:p w14:paraId="72C9507A" w14:textId="2C1E982C" w:rsidR="00A26E6D" w:rsidRPr="003969B3" w:rsidRDefault="004962FA">
      <w:pPr>
        <w:ind w:left="-15" w:firstLine="708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Spolu s prihláškou na súbeh sa vypĺňa aj </w:t>
      </w:r>
      <w:r w:rsidR="00865099">
        <w:rPr>
          <w:rFonts w:asciiTheme="minorHAnsi" w:hAnsiTheme="minorHAnsi" w:cstheme="minorHAnsi"/>
          <w:sz w:val="24"/>
          <w:szCs w:val="24"/>
        </w:rPr>
        <w:t>doklad o zdravotnej spôsobilosti žiaka, ktorý je potrebný</w:t>
      </w:r>
      <w:r w:rsidRPr="003969B3">
        <w:rPr>
          <w:rFonts w:asciiTheme="minorHAnsi" w:hAnsiTheme="minorHAnsi" w:cstheme="minorHAnsi"/>
          <w:sz w:val="24"/>
          <w:szCs w:val="24"/>
        </w:rPr>
        <w:t xml:space="preserve"> vyplniť a </w:t>
      </w:r>
      <w:r w:rsidRPr="003969B3">
        <w:rPr>
          <w:rFonts w:asciiTheme="minorHAnsi" w:hAnsiTheme="minorHAnsi" w:cstheme="minorHAnsi"/>
          <w:b/>
          <w:bCs/>
          <w:sz w:val="24"/>
          <w:szCs w:val="24"/>
        </w:rPr>
        <w:t>odovzdať učiteľovi – sprievodcovi</w:t>
      </w:r>
      <w:r w:rsidRPr="003969B3">
        <w:rPr>
          <w:rFonts w:asciiTheme="minorHAnsi" w:hAnsiTheme="minorHAnsi" w:cstheme="minorHAnsi"/>
          <w:sz w:val="24"/>
          <w:szCs w:val="24"/>
        </w:rPr>
        <w:t xml:space="preserve">, ktorý bude dieťa sprevádzať. </w:t>
      </w:r>
      <w:r w:rsidR="00865099">
        <w:rPr>
          <w:rFonts w:asciiTheme="minorHAnsi" w:hAnsiTheme="minorHAnsi" w:cstheme="minorHAnsi"/>
          <w:sz w:val="24"/>
          <w:szCs w:val="24"/>
        </w:rPr>
        <w:t>D</w:t>
      </w:r>
      <w:r w:rsidR="00865099" w:rsidRPr="00865099">
        <w:rPr>
          <w:rFonts w:asciiTheme="minorHAnsi" w:hAnsiTheme="minorHAnsi" w:cstheme="minorHAnsi"/>
          <w:sz w:val="24"/>
          <w:szCs w:val="24"/>
        </w:rPr>
        <w:t xml:space="preserve">oklad o zdravotnej spôsobilosti </w:t>
      </w:r>
      <w:r w:rsidRPr="003969B3">
        <w:rPr>
          <w:rFonts w:asciiTheme="minorHAnsi" w:hAnsiTheme="minorHAnsi" w:cstheme="minorHAnsi"/>
          <w:sz w:val="24"/>
          <w:szCs w:val="24"/>
        </w:rPr>
        <w:t xml:space="preserve">sa sekretariátu </w:t>
      </w:r>
      <w:r w:rsidRPr="003969B3">
        <w:rPr>
          <w:rFonts w:asciiTheme="minorHAnsi" w:hAnsiTheme="minorHAnsi" w:cstheme="minorHAnsi"/>
          <w:b/>
          <w:bCs/>
          <w:sz w:val="24"/>
          <w:szCs w:val="24"/>
        </w:rPr>
        <w:t>nepredkladá.</w:t>
      </w:r>
      <w:r w:rsidRPr="003969B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0214D5C" w14:textId="77777777" w:rsidR="003626A6" w:rsidRPr="003969B3" w:rsidRDefault="003626A6" w:rsidP="00865099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8A191C6" w14:textId="2F7CA381" w:rsidR="00A26E6D" w:rsidRPr="003969B3" w:rsidRDefault="004962FA">
      <w:pPr>
        <w:ind w:left="-15" w:firstLine="466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>V prípade potreby sekretariát si vyhradzuje právo vyžiadať si od žiadateľa doplňujúcu dokumentáciu a informácie; a ak žiadateľ neodpovie na žiadosť o doplnenie dokumentácie do 8 dní, se</w:t>
      </w:r>
      <w:r w:rsidR="00865099">
        <w:rPr>
          <w:rFonts w:asciiTheme="minorHAnsi" w:hAnsiTheme="minorHAnsi" w:cstheme="minorHAnsi"/>
          <w:sz w:val="24"/>
          <w:szCs w:val="24"/>
        </w:rPr>
        <w:t>kretariát bude považovať prihlášku</w:t>
      </w:r>
      <w:r w:rsidRPr="003969B3">
        <w:rPr>
          <w:rFonts w:asciiTheme="minorHAnsi" w:hAnsiTheme="minorHAnsi" w:cstheme="minorHAnsi"/>
          <w:sz w:val="24"/>
          <w:szCs w:val="24"/>
        </w:rPr>
        <w:t xml:space="preserve"> za neúplnú. </w:t>
      </w:r>
    </w:p>
    <w:p w14:paraId="39621A1E" w14:textId="77777777" w:rsidR="003626A6" w:rsidRPr="003969B3" w:rsidRDefault="003626A6">
      <w:pPr>
        <w:ind w:left="-15" w:firstLine="466"/>
        <w:rPr>
          <w:rFonts w:asciiTheme="minorHAnsi" w:hAnsiTheme="minorHAnsi" w:cstheme="minorHAnsi"/>
          <w:sz w:val="24"/>
          <w:szCs w:val="24"/>
        </w:rPr>
      </w:pPr>
    </w:p>
    <w:p w14:paraId="0390CBCA" w14:textId="77777777" w:rsidR="003626A6" w:rsidRPr="003969B3" w:rsidRDefault="004962FA" w:rsidP="003626A6">
      <w:pPr>
        <w:ind w:left="-15" w:firstLine="708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O pridelení finančných prostriedkov príjemcom rozhoduje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pokrajinský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tajomník na návrh komisie na uskutočnenie súbehu, ktorá posudzuje prijaté žiadosti.  </w:t>
      </w:r>
    </w:p>
    <w:p w14:paraId="64E6C485" w14:textId="77777777" w:rsidR="003626A6" w:rsidRPr="003969B3" w:rsidRDefault="003626A6" w:rsidP="003626A6">
      <w:pPr>
        <w:ind w:left="-15" w:firstLine="708"/>
        <w:rPr>
          <w:rFonts w:asciiTheme="minorHAnsi" w:hAnsiTheme="minorHAnsi" w:cstheme="minorHAnsi"/>
          <w:sz w:val="24"/>
          <w:szCs w:val="24"/>
        </w:rPr>
      </w:pPr>
    </w:p>
    <w:p w14:paraId="040E0EBE" w14:textId="2E6386A4" w:rsidR="003626A6" w:rsidRPr="003969B3" w:rsidRDefault="00865099" w:rsidP="003626A6">
      <w:pPr>
        <w:ind w:left="-15" w:firstLine="708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Oneskorené, neúplné, prihlášky,</w:t>
      </w:r>
      <w:r w:rsidR="00223445"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ktoré nie sú podpísané alebo over</w:t>
      </w:r>
      <w:r>
        <w:rPr>
          <w:rFonts w:asciiTheme="minorHAnsi" w:hAnsiTheme="minorHAnsi" w:cstheme="minorHAnsi"/>
          <w:color w:val="auto"/>
          <w:sz w:val="24"/>
          <w:szCs w:val="24"/>
        </w:rPr>
        <w:t>ené, ako aj neprípustné prihlášky</w:t>
      </w:r>
      <w:r w:rsidR="00223445"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komisia nebude posudzovať.</w:t>
      </w:r>
    </w:p>
    <w:p w14:paraId="2A583C22" w14:textId="77777777" w:rsidR="003626A6" w:rsidRPr="003969B3" w:rsidRDefault="003626A6" w:rsidP="003626A6">
      <w:pPr>
        <w:ind w:left="-15" w:firstLine="708"/>
        <w:rPr>
          <w:rFonts w:asciiTheme="minorHAnsi" w:hAnsiTheme="minorHAnsi" w:cstheme="minorHAnsi"/>
          <w:sz w:val="24"/>
          <w:szCs w:val="24"/>
        </w:rPr>
      </w:pPr>
    </w:p>
    <w:p w14:paraId="1607A52B" w14:textId="529B46C5" w:rsidR="00223445" w:rsidRPr="003969B3" w:rsidRDefault="00865099" w:rsidP="006C3459">
      <w:pPr>
        <w:ind w:left="-15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Nasledujúce prihlášky</w:t>
      </w:r>
      <w:r w:rsidR="00223445"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 sa považujú za neprípustné:</w:t>
      </w:r>
    </w:p>
    <w:p w14:paraId="3E581AAB" w14:textId="77777777" w:rsidR="00223445" w:rsidRPr="003969B3" w:rsidRDefault="00223445" w:rsidP="006C3459">
      <w:pPr>
        <w:spacing w:after="0" w:line="100" w:lineRule="atLeast"/>
        <w:ind w:left="-284" w:right="-431" w:firstLine="283"/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</w:pPr>
    </w:p>
    <w:p w14:paraId="5503E6DD" w14:textId="77777777" w:rsidR="00223445" w:rsidRPr="003969B3" w:rsidRDefault="00223445" w:rsidP="006C3459">
      <w:pPr>
        <w:numPr>
          <w:ilvl w:val="0"/>
          <w:numId w:val="7"/>
        </w:numPr>
        <w:spacing w:after="0" w:line="276" w:lineRule="auto"/>
        <w:contextualSpacing/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</w:pPr>
      <w:r w:rsidRPr="003969B3">
        <w:rPr>
          <w:rFonts w:asciiTheme="minorHAnsi" w:hAnsiTheme="minorHAnsi" w:cstheme="minorHAnsi"/>
          <w:color w:val="auto"/>
          <w:sz w:val="24"/>
          <w:szCs w:val="24"/>
        </w:rPr>
        <w:t>prihlášky predložené neoprávnenými osobami a subjektmi, ktoré neboli plánované v súbehu;</w:t>
      </w:r>
    </w:p>
    <w:p w14:paraId="11BC96D6" w14:textId="77777777" w:rsidR="00A26E6D" w:rsidRPr="003969B3" w:rsidRDefault="00223445" w:rsidP="006C3459">
      <w:pPr>
        <w:numPr>
          <w:ilvl w:val="0"/>
          <w:numId w:val="7"/>
        </w:numPr>
        <w:spacing w:after="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color w:val="auto"/>
          <w:sz w:val="24"/>
          <w:szCs w:val="24"/>
        </w:rPr>
        <w:t xml:space="preserve">prihlášky, ktoré nesúvisia s účelmi stanovenými súbehom. </w:t>
      </w:r>
    </w:p>
    <w:p w14:paraId="0AF34E76" w14:textId="77777777" w:rsidR="00A26E6D" w:rsidRPr="003969B3" w:rsidRDefault="004962FA" w:rsidP="006C3459">
      <w:pPr>
        <w:spacing w:after="0" w:line="259" w:lineRule="auto"/>
        <w:ind w:left="708" w:firstLine="0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15B99E" w14:textId="207308AB" w:rsidR="00A26E6D" w:rsidRPr="003969B3" w:rsidRDefault="004962FA" w:rsidP="003626A6">
      <w:pPr>
        <w:spacing w:after="0" w:line="259" w:lineRule="auto"/>
        <w:ind w:left="0" w:right="6" w:firstLine="0"/>
        <w:jc w:val="center"/>
        <w:rPr>
          <w:rFonts w:asciiTheme="minorHAnsi" w:hAnsiTheme="minorHAnsi" w:cstheme="minorHAnsi"/>
          <w:b/>
          <w:sz w:val="24"/>
          <w:szCs w:val="24"/>
          <w:u w:val="single" w:color="000000"/>
        </w:rPr>
      </w:pPr>
      <w:r w:rsidRPr="003969B3">
        <w:rPr>
          <w:rFonts w:asciiTheme="minorHAnsi" w:hAnsiTheme="minorHAnsi" w:cstheme="minorHAnsi"/>
          <w:b/>
          <w:sz w:val="24"/>
          <w:szCs w:val="24"/>
          <w:u w:val="single" w:color="000000"/>
        </w:rPr>
        <w:t>Lehota podávania prihlášok na súbeh je 6. februára 2026.</w:t>
      </w:r>
    </w:p>
    <w:p w14:paraId="637EB771" w14:textId="77777777" w:rsidR="003626A6" w:rsidRPr="003969B3" w:rsidRDefault="003626A6" w:rsidP="003626A6">
      <w:pPr>
        <w:spacing w:after="0" w:line="259" w:lineRule="auto"/>
        <w:ind w:left="0" w:right="6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0F504A1D" w14:textId="59301D29" w:rsidR="00A26E6D" w:rsidRPr="003969B3" w:rsidRDefault="004962FA" w:rsidP="003626A6">
      <w:pPr>
        <w:spacing w:after="0" w:line="259" w:lineRule="auto"/>
        <w:ind w:left="0" w:firstLine="708"/>
        <w:rPr>
          <w:rFonts w:asciiTheme="minorHAnsi" w:hAnsiTheme="minorHAnsi" w:cstheme="minorHAnsi"/>
          <w:b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Tlačivo prihlášky a tlačivo </w:t>
      </w:r>
      <w:r w:rsidR="00865099">
        <w:rPr>
          <w:rFonts w:asciiTheme="minorHAnsi" w:hAnsiTheme="minorHAnsi" w:cstheme="minorHAnsi"/>
          <w:sz w:val="24"/>
          <w:szCs w:val="24"/>
        </w:rPr>
        <w:t xml:space="preserve">dokladu </w:t>
      </w:r>
      <w:r w:rsidR="00865099" w:rsidRPr="00865099">
        <w:rPr>
          <w:rFonts w:asciiTheme="minorHAnsi" w:hAnsiTheme="minorHAnsi" w:cstheme="minorHAnsi"/>
          <w:sz w:val="24"/>
          <w:szCs w:val="24"/>
        </w:rPr>
        <w:t>o zdravotnej spôsobilosti</w:t>
      </w:r>
      <w:r w:rsidRPr="003969B3">
        <w:rPr>
          <w:rFonts w:asciiTheme="minorHAnsi" w:hAnsiTheme="minorHAnsi" w:cstheme="minorHAnsi"/>
          <w:sz w:val="24"/>
          <w:szCs w:val="24"/>
        </w:rPr>
        <w:t xml:space="preserve"> žiaka je možné stiahnuť </w:t>
      </w:r>
      <w:r w:rsidRPr="003969B3">
        <w:rPr>
          <w:rFonts w:asciiTheme="minorHAnsi" w:hAnsiTheme="minorHAnsi" w:cstheme="minorHAnsi"/>
          <w:b/>
          <w:bCs/>
          <w:sz w:val="24"/>
          <w:szCs w:val="24"/>
        </w:rPr>
        <w:t>od 26. januára 2026</w:t>
      </w:r>
      <w:r w:rsidR="009B0E40">
        <w:rPr>
          <w:rFonts w:asciiTheme="minorHAnsi" w:hAnsiTheme="minorHAnsi" w:cstheme="minorHAnsi"/>
          <w:sz w:val="24"/>
          <w:szCs w:val="24"/>
        </w:rPr>
        <w:t xml:space="preserve"> na </w:t>
      </w:r>
      <w:bookmarkStart w:id="0" w:name="_GoBack"/>
      <w:r w:rsidR="009B0E40">
        <w:rPr>
          <w:rFonts w:asciiTheme="minorHAnsi" w:hAnsiTheme="minorHAnsi" w:cstheme="minorHAnsi"/>
          <w:sz w:val="24"/>
          <w:szCs w:val="24"/>
        </w:rPr>
        <w:t>oficiáln</w:t>
      </w:r>
      <w:bookmarkEnd w:id="0"/>
      <w:r w:rsidR="009B0E40">
        <w:rPr>
          <w:rFonts w:asciiTheme="minorHAnsi" w:hAnsiTheme="minorHAnsi" w:cstheme="minorHAnsi"/>
          <w:sz w:val="24"/>
          <w:szCs w:val="24"/>
        </w:rPr>
        <w:t>ej webovej stránke</w:t>
      </w:r>
      <w:r w:rsidRPr="003969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969B3">
        <w:rPr>
          <w:rFonts w:asciiTheme="minorHAnsi" w:hAnsiTheme="minorHAnsi" w:cstheme="minorHAnsi"/>
          <w:sz w:val="24"/>
          <w:szCs w:val="24"/>
        </w:rPr>
        <w:t>Pokrajinského</w:t>
      </w:r>
      <w:proofErr w:type="spellEnd"/>
      <w:r w:rsidRPr="003969B3">
        <w:rPr>
          <w:rFonts w:asciiTheme="minorHAnsi" w:hAnsiTheme="minorHAnsi" w:cstheme="minorHAnsi"/>
          <w:sz w:val="24"/>
          <w:szCs w:val="24"/>
        </w:rPr>
        <w:t xml:space="preserve"> sekretariátu vzdelávania, predpisov, správy a národnostných menšín – národnostných spoločenstiev: </w:t>
      </w:r>
      <w:hyperlink r:id="rId9">
        <w:r w:rsidRPr="003969B3">
          <w:rPr>
            <w:rFonts w:asciiTheme="minorHAnsi" w:hAnsiTheme="minorHAnsi" w:cstheme="minorHAnsi"/>
            <w:b/>
            <w:sz w:val="24"/>
            <w:szCs w:val="24"/>
            <w:u w:val="single" w:color="000000"/>
          </w:rPr>
          <w:t>www.puma.vojvodina.gov.rs</w:t>
        </w:r>
      </w:hyperlink>
      <w:hyperlink r:id="rId10">
        <w:r w:rsidRPr="009B0E40">
          <w:rPr>
            <w:rFonts w:asciiTheme="minorHAnsi" w:hAnsiTheme="minorHAnsi" w:cstheme="minorHAnsi"/>
            <w:sz w:val="24"/>
            <w:szCs w:val="24"/>
          </w:rPr>
          <w:t>.</w:t>
        </w:r>
      </w:hyperlink>
      <w:r w:rsidRPr="009B0E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37E8C5" w14:textId="77777777" w:rsidR="003626A6" w:rsidRPr="003969B3" w:rsidRDefault="003626A6" w:rsidP="003626A6">
      <w:pPr>
        <w:spacing w:after="0" w:line="259" w:lineRule="auto"/>
        <w:ind w:left="0" w:firstLine="708"/>
        <w:rPr>
          <w:rFonts w:asciiTheme="minorHAnsi" w:hAnsiTheme="minorHAnsi" w:cstheme="minorHAnsi"/>
          <w:sz w:val="24"/>
          <w:szCs w:val="24"/>
        </w:rPr>
      </w:pPr>
    </w:p>
    <w:p w14:paraId="79E983D0" w14:textId="77777777" w:rsidR="00A26E6D" w:rsidRPr="003969B3" w:rsidRDefault="004962FA" w:rsidP="003626A6">
      <w:pPr>
        <w:spacing w:after="0" w:line="259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 Výsledky súbehu sa uverejňujú na webovej stránke sekretariátu. </w:t>
      </w:r>
    </w:p>
    <w:p w14:paraId="0E72AFE3" w14:textId="77777777" w:rsidR="003626A6" w:rsidRPr="003969B3" w:rsidRDefault="003626A6" w:rsidP="003626A6">
      <w:pPr>
        <w:spacing w:after="0" w:line="259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0D24B8A" w14:textId="555DA28C" w:rsidR="00A26E6D" w:rsidRPr="003969B3" w:rsidRDefault="004962FA" w:rsidP="003626A6">
      <w:pPr>
        <w:spacing w:after="0" w:line="259" w:lineRule="auto"/>
        <w:ind w:left="0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3969B3">
        <w:rPr>
          <w:rFonts w:asciiTheme="minorHAnsi" w:hAnsiTheme="minorHAnsi" w:cstheme="minorHAnsi"/>
          <w:sz w:val="24"/>
          <w:szCs w:val="24"/>
        </w:rPr>
        <w:t xml:space="preserve"> Informácie v súvislosti so súb</w:t>
      </w:r>
      <w:r w:rsidR="00AD7516" w:rsidRPr="003969B3">
        <w:rPr>
          <w:rFonts w:asciiTheme="minorHAnsi" w:hAnsiTheme="minorHAnsi" w:cstheme="minorHAnsi"/>
          <w:sz w:val="24"/>
          <w:szCs w:val="24"/>
        </w:rPr>
        <w:t>ehom možno získať na telefónnom</w:t>
      </w:r>
      <w:r w:rsidRPr="003969B3">
        <w:rPr>
          <w:rFonts w:asciiTheme="minorHAnsi" w:hAnsiTheme="minorHAnsi" w:cstheme="minorHAnsi"/>
          <w:sz w:val="24"/>
          <w:szCs w:val="24"/>
        </w:rPr>
        <w:t xml:space="preserve"> čísl</w:t>
      </w:r>
      <w:r w:rsidR="00AD7516" w:rsidRPr="003969B3">
        <w:rPr>
          <w:rFonts w:asciiTheme="minorHAnsi" w:hAnsiTheme="minorHAnsi" w:cstheme="minorHAnsi"/>
          <w:sz w:val="24"/>
          <w:szCs w:val="24"/>
        </w:rPr>
        <w:t>e</w:t>
      </w:r>
      <w:r w:rsidRPr="003969B3">
        <w:rPr>
          <w:rFonts w:asciiTheme="minorHAnsi" w:hAnsiTheme="minorHAnsi" w:cstheme="minorHAnsi"/>
          <w:sz w:val="24"/>
          <w:szCs w:val="24"/>
        </w:rPr>
        <w:t xml:space="preserve">: 021/487 4876. </w:t>
      </w:r>
    </w:p>
    <w:p w14:paraId="1BFE9232" w14:textId="103B37BF" w:rsidR="004B2ABB" w:rsidRPr="003969B3" w:rsidRDefault="004B2ABB" w:rsidP="003626A6">
      <w:pPr>
        <w:spacing w:after="0" w:line="259" w:lineRule="auto"/>
        <w:ind w:left="0"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4AD65AF9" w14:textId="1C6CF254" w:rsidR="004B2ABB" w:rsidRPr="003969B3" w:rsidRDefault="004B2ABB" w:rsidP="003626A6">
      <w:pPr>
        <w:spacing w:after="0" w:line="259" w:lineRule="auto"/>
        <w:ind w:left="0"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1D211678" w14:textId="77777777" w:rsidR="004B2ABB" w:rsidRPr="003969B3" w:rsidRDefault="004B2ABB" w:rsidP="004B2ABB">
      <w:pPr>
        <w:spacing w:after="240"/>
        <w:rPr>
          <w:rFonts w:asciiTheme="minorHAnsi" w:hAnsiTheme="minorHAnsi" w:cstheme="minorHAnsi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6"/>
        <w:gridCol w:w="4597"/>
      </w:tblGrid>
      <w:tr w:rsidR="004B2ABB" w:rsidRPr="003969B3" w14:paraId="1FA78C65" w14:textId="77777777" w:rsidTr="000A681A">
        <w:tc>
          <w:tcPr>
            <w:tcW w:w="4596" w:type="dxa"/>
          </w:tcPr>
          <w:p w14:paraId="1967AFB2" w14:textId="77777777" w:rsidR="004B2ABB" w:rsidRPr="003969B3" w:rsidRDefault="004B2ABB" w:rsidP="000A681A">
            <w:pPr>
              <w:tabs>
                <w:tab w:val="center" w:pos="7200"/>
              </w:tabs>
              <w:spacing w:after="240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597" w:type="dxa"/>
          </w:tcPr>
          <w:p w14:paraId="7D1871AF" w14:textId="3A89CDF6" w:rsidR="004B2ABB" w:rsidRPr="003969B3" w:rsidRDefault="004B2ABB" w:rsidP="00C34A15">
            <w:pPr>
              <w:spacing w:after="240"/>
              <w:ind w:left="-119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969B3">
              <w:rPr>
                <w:rFonts w:asciiTheme="minorHAnsi" w:hAnsiTheme="minorHAnsi" w:cstheme="minorHAnsi"/>
                <w:sz w:val="24"/>
                <w:szCs w:val="24"/>
              </w:rPr>
              <w:t>POKRAJINSKÝ TAJOMNÍK</w:t>
            </w:r>
          </w:p>
          <w:p w14:paraId="6110342E" w14:textId="007E01D1" w:rsidR="004B2ABB" w:rsidRPr="003969B3" w:rsidRDefault="004B2ABB" w:rsidP="000A681A">
            <w:pPr>
              <w:spacing w:after="240"/>
              <w:ind w:left="-119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969B3">
              <w:rPr>
                <w:rFonts w:asciiTheme="minorHAnsi" w:hAnsiTheme="minorHAnsi" w:cstheme="minorHAnsi"/>
                <w:sz w:val="24"/>
                <w:szCs w:val="24"/>
              </w:rPr>
              <w:t xml:space="preserve">Róbert </w:t>
            </w:r>
            <w:proofErr w:type="spellStart"/>
            <w:r w:rsidRPr="003969B3">
              <w:rPr>
                <w:rFonts w:asciiTheme="minorHAnsi" w:hAnsiTheme="minorHAnsi" w:cstheme="minorHAnsi"/>
                <w:sz w:val="24"/>
                <w:szCs w:val="24"/>
              </w:rPr>
              <w:t>Ótott</w:t>
            </w:r>
            <w:proofErr w:type="spellEnd"/>
          </w:p>
          <w:p w14:paraId="45AEA40C" w14:textId="77777777" w:rsidR="004B2ABB" w:rsidRPr="003969B3" w:rsidRDefault="004B2ABB" w:rsidP="000A681A">
            <w:pPr>
              <w:spacing w:after="240"/>
              <w:ind w:left="-119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7D84A4F" w14:textId="77777777" w:rsidR="004B2ABB" w:rsidRPr="003969B3" w:rsidRDefault="004B2ABB" w:rsidP="000A681A">
            <w:pPr>
              <w:tabs>
                <w:tab w:val="center" w:pos="7200"/>
              </w:tabs>
              <w:spacing w:after="240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7EA8D02F" w14:textId="61A8DAF0" w:rsidR="00A26E6D" w:rsidRPr="003969B3" w:rsidRDefault="00A26E6D" w:rsidP="00F657BA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A26E6D" w:rsidRPr="003969B3">
      <w:pgSz w:w="11906" w:h="16838"/>
      <w:pgMar w:top="1454" w:right="1414" w:bottom="144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1C77"/>
    <w:multiLevelType w:val="hybridMultilevel"/>
    <w:tmpl w:val="5FE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F2A3C"/>
    <w:multiLevelType w:val="hybridMultilevel"/>
    <w:tmpl w:val="A9D6E2BC"/>
    <w:lvl w:ilvl="0" w:tplc="2A905AF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E7E50F2"/>
    <w:multiLevelType w:val="hybridMultilevel"/>
    <w:tmpl w:val="5340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71E18"/>
    <w:multiLevelType w:val="hybridMultilevel"/>
    <w:tmpl w:val="4F5E1DE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82D29D2"/>
    <w:multiLevelType w:val="hybridMultilevel"/>
    <w:tmpl w:val="2CB68E4C"/>
    <w:lvl w:ilvl="0" w:tplc="94D40FB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BEBB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A661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A2117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BC0A9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ECBEE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CD01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A64D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142A2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BE43B2"/>
    <w:multiLevelType w:val="hybridMultilevel"/>
    <w:tmpl w:val="A128E3A4"/>
    <w:lvl w:ilvl="0" w:tplc="997CB7EA">
      <w:start w:val="1"/>
      <w:numFmt w:val="bullet"/>
      <w:lvlText w:val="–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D428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122A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2AF46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214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8686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86C2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ACD3B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F4F90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08058B"/>
    <w:multiLevelType w:val="hybridMultilevel"/>
    <w:tmpl w:val="72384AB0"/>
    <w:lvl w:ilvl="0" w:tplc="106441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177531"/>
    <w:multiLevelType w:val="hybridMultilevel"/>
    <w:tmpl w:val="672ECBB0"/>
    <w:lvl w:ilvl="0" w:tplc="96467238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D013E0">
      <w:start w:val="1"/>
      <w:numFmt w:val="lowerLetter"/>
      <w:lvlText w:val="%2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185C16">
      <w:start w:val="1"/>
      <w:numFmt w:val="lowerRoman"/>
      <w:lvlText w:val="%3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4F622">
      <w:start w:val="1"/>
      <w:numFmt w:val="decimal"/>
      <w:lvlText w:val="%4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043E6">
      <w:start w:val="1"/>
      <w:numFmt w:val="lowerLetter"/>
      <w:lvlText w:val="%5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369CBC">
      <w:start w:val="1"/>
      <w:numFmt w:val="lowerRoman"/>
      <w:lvlText w:val="%6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A5DA8">
      <w:start w:val="1"/>
      <w:numFmt w:val="decimal"/>
      <w:lvlText w:val="%7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548730">
      <w:start w:val="1"/>
      <w:numFmt w:val="lowerLetter"/>
      <w:lvlText w:val="%8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929702">
      <w:start w:val="1"/>
      <w:numFmt w:val="lowerRoman"/>
      <w:lvlText w:val="%9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0E17FD"/>
    <w:multiLevelType w:val="hybridMultilevel"/>
    <w:tmpl w:val="37F2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6D"/>
    <w:rsid w:val="0001352B"/>
    <w:rsid w:val="000E7017"/>
    <w:rsid w:val="00120BDB"/>
    <w:rsid w:val="00223445"/>
    <w:rsid w:val="003626A6"/>
    <w:rsid w:val="003969B3"/>
    <w:rsid w:val="003C4A97"/>
    <w:rsid w:val="004962FA"/>
    <w:rsid w:val="004B2ABB"/>
    <w:rsid w:val="006A47D5"/>
    <w:rsid w:val="006C3459"/>
    <w:rsid w:val="00865099"/>
    <w:rsid w:val="008D17FF"/>
    <w:rsid w:val="00977F44"/>
    <w:rsid w:val="009B0E40"/>
    <w:rsid w:val="00A26E6D"/>
    <w:rsid w:val="00A81FAC"/>
    <w:rsid w:val="00AD7516"/>
    <w:rsid w:val="00C34A15"/>
    <w:rsid w:val="00CC0872"/>
    <w:rsid w:val="00DE4B02"/>
    <w:rsid w:val="00EC094A"/>
    <w:rsid w:val="00F6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9B6E"/>
  <w15:docId w15:val="{3831FB34-73F4-40D1-9D98-BB7DF5D0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49" w:lineRule="auto"/>
      <w:ind w:left="10" w:right="8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i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3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445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44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4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234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52B"/>
    <w:pPr>
      <w:spacing w:after="4"/>
      <w:ind w:left="10" w:hanging="10"/>
      <w:jc w:val="both"/>
    </w:pPr>
    <w:rPr>
      <w:rFonts w:ascii="Calibri" w:eastAsia="Calibri" w:hAnsi="Calibri" w:cs="Calibri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52B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4B2AB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uma.vojvodina.gov.r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ma.vojvodina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ma.vojvodin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AFF8-D204-448E-BE63-E4B062E4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cp:lastModifiedBy>Martina Bartosova</cp:lastModifiedBy>
  <cp:revision>5</cp:revision>
  <dcterms:created xsi:type="dcterms:W3CDTF">2026-01-26T06:56:00Z</dcterms:created>
  <dcterms:modified xsi:type="dcterms:W3CDTF">2026-01-26T10:28:00Z</dcterms:modified>
</cp:coreProperties>
</file>