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BEC0" w14:textId="12194E56" w:rsidR="00B9433E" w:rsidRPr="005F2EC2" w:rsidRDefault="005F2EC2" w:rsidP="00B9433E">
      <w:pPr>
        <w:pStyle w:val="BodyText"/>
        <w:rPr>
          <w:rFonts w:ascii="Calibri" w:hAnsi="Calibri" w:cs="Calibri"/>
          <w:sz w:val="20"/>
          <w:szCs w:val="20"/>
        </w:rPr>
      </w:pPr>
      <w:r>
        <w:rPr>
          <w:rFonts w:ascii="Calibri" w:hAnsi="Calibri"/>
          <w:sz w:val="20"/>
          <w:szCs w:val="20"/>
        </w:rPr>
        <w:t xml:space="preserve">    Podľa článku 10 Pokrajinského parlamentného uznesenia o prideľovaní rozpočtových prostriedkov na financovanie a spolufinancovanie programových aktivít a projektov v oblasti základného a stredného vzdelávania a výchovy a žiackeho štandardu v Autonómnej pokrajine Vojvodine (Úradný vestník APV č. 14/15 a 10/17) a čl. 15 a 16 odsek 2 a článku 24 Pokrajinského parlamentného uznesenia o Pokrajinskej správe (Úradný vestník APV č. 37/2014, 54/2019 – i. uznesenie, 37/16, 29/17, 24/19, 66/20, 38/21 a 22/25) pokrajinský tajomník vzdelávania, predpisov, správy a národnostných menšín – národnostných spoločenstiev </w:t>
      </w:r>
      <w:r w:rsidR="002A2E71">
        <w:rPr>
          <w:rFonts w:ascii="Calibri" w:hAnsi="Calibri"/>
          <w:sz w:val="20"/>
          <w:szCs w:val="20"/>
        </w:rPr>
        <w:t xml:space="preserve"> </w:t>
      </w:r>
      <w:r>
        <w:rPr>
          <w:rFonts w:ascii="Calibri" w:hAnsi="Calibri"/>
          <w:sz w:val="20"/>
          <w:szCs w:val="20"/>
        </w:rPr>
        <w:t>v</w:t>
      </w:r>
      <w:r w:rsidR="002A2E71">
        <w:rPr>
          <w:rFonts w:ascii="Calibri" w:hAnsi="Calibri"/>
          <w:sz w:val="20"/>
          <w:szCs w:val="20"/>
        </w:rPr>
        <w:t> </w:t>
      </w:r>
      <w:r>
        <w:rPr>
          <w:rFonts w:ascii="Calibri" w:hAnsi="Calibri"/>
          <w:sz w:val="20"/>
          <w:szCs w:val="20"/>
        </w:rPr>
        <w:t>y</w:t>
      </w:r>
      <w:r w:rsidR="002A2E71">
        <w:rPr>
          <w:rFonts w:ascii="Calibri" w:hAnsi="Calibri"/>
          <w:sz w:val="20"/>
          <w:szCs w:val="20"/>
        </w:rPr>
        <w:t xml:space="preserve"> </w:t>
      </w:r>
      <w:r>
        <w:rPr>
          <w:rFonts w:ascii="Calibri" w:hAnsi="Calibri"/>
          <w:sz w:val="20"/>
          <w:szCs w:val="20"/>
        </w:rPr>
        <w:t>n</w:t>
      </w:r>
      <w:r w:rsidR="002A2E71">
        <w:rPr>
          <w:rFonts w:ascii="Calibri" w:hAnsi="Calibri"/>
          <w:sz w:val="20"/>
          <w:szCs w:val="20"/>
        </w:rPr>
        <w:t xml:space="preserve"> </w:t>
      </w:r>
      <w:r>
        <w:rPr>
          <w:rFonts w:ascii="Calibri" w:hAnsi="Calibri"/>
          <w:sz w:val="20"/>
          <w:szCs w:val="20"/>
        </w:rPr>
        <w:t>á</w:t>
      </w:r>
      <w:r w:rsidR="002A2E71">
        <w:rPr>
          <w:rFonts w:ascii="Calibri" w:hAnsi="Calibri"/>
          <w:sz w:val="20"/>
          <w:szCs w:val="20"/>
        </w:rPr>
        <w:t xml:space="preserve"> </w:t>
      </w:r>
      <w:r>
        <w:rPr>
          <w:rFonts w:ascii="Calibri" w:hAnsi="Calibri"/>
          <w:sz w:val="20"/>
          <w:szCs w:val="20"/>
        </w:rPr>
        <w:t>š</w:t>
      </w:r>
      <w:r w:rsidR="002A2E71">
        <w:rPr>
          <w:rFonts w:ascii="Calibri" w:hAnsi="Calibri"/>
          <w:sz w:val="20"/>
          <w:szCs w:val="20"/>
        </w:rPr>
        <w:t xml:space="preserve"> </w:t>
      </w:r>
      <w:r>
        <w:rPr>
          <w:rFonts w:ascii="Calibri" w:hAnsi="Calibri"/>
          <w:sz w:val="20"/>
          <w:szCs w:val="20"/>
        </w:rPr>
        <w:t>a</w:t>
      </w:r>
    </w:p>
    <w:p w14:paraId="0185A7EA" w14:textId="77777777" w:rsidR="00B3317B" w:rsidRPr="005F2EC2" w:rsidRDefault="00B3317B" w:rsidP="00B9433E">
      <w:pPr>
        <w:pStyle w:val="BodyText"/>
        <w:rPr>
          <w:rFonts w:ascii="Calibri" w:hAnsi="Calibri" w:cs="Calibri"/>
          <w:color w:val="FF0000"/>
          <w:sz w:val="20"/>
          <w:szCs w:val="20"/>
          <w:lang w:val="ru-RU"/>
        </w:rPr>
      </w:pPr>
    </w:p>
    <w:p w14:paraId="0C33DE0C" w14:textId="4F4D9055" w:rsidR="00B9433E" w:rsidRPr="005F2EC2" w:rsidRDefault="00B9433E" w:rsidP="00EB248B">
      <w:pPr>
        <w:jc w:val="center"/>
        <w:rPr>
          <w:rFonts w:ascii="Calibri" w:hAnsi="Calibri" w:cs="Calibri"/>
          <w:b/>
          <w:bCs/>
          <w:sz w:val="20"/>
          <w:szCs w:val="20"/>
        </w:rPr>
      </w:pPr>
      <w:r>
        <w:rPr>
          <w:rFonts w:ascii="Calibri" w:hAnsi="Calibri"/>
          <w:b/>
          <w:bCs/>
          <w:sz w:val="20"/>
          <w:szCs w:val="20"/>
        </w:rPr>
        <w:t>PRAVIDLÁ</w:t>
      </w:r>
    </w:p>
    <w:p w14:paraId="3CDA3160" w14:textId="20A3D867" w:rsidR="00B9433E" w:rsidRPr="005F2EC2" w:rsidRDefault="00B9433E" w:rsidP="00B9433E">
      <w:pPr>
        <w:jc w:val="center"/>
        <w:rPr>
          <w:rFonts w:ascii="Calibri" w:hAnsi="Calibri" w:cs="Calibri"/>
          <w:b/>
          <w:caps/>
          <w:sz w:val="20"/>
          <w:szCs w:val="20"/>
        </w:rPr>
      </w:pPr>
      <w:r>
        <w:rPr>
          <w:rFonts w:ascii="Calibri" w:hAnsi="Calibri"/>
          <w:b/>
          <w:caps/>
          <w:sz w:val="20"/>
          <w:szCs w:val="20"/>
        </w:rPr>
        <w:t>O  PRIDELENÍ ROZPOČTOVÝCH PROSTRIEDKO</w:t>
      </w:r>
      <w:bookmarkStart w:id="0" w:name="_GoBack"/>
      <w:bookmarkEnd w:id="0"/>
      <w:r>
        <w:rPr>
          <w:rFonts w:ascii="Calibri" w:hAnsi="Calibri"/>
          <w:b/>
          <w:caps/>
          <w:sz w:val="20"/>
          <w:szCs w:val="20"/>
        </w:rPr>
        <w:t xml:space="preserve">V POKRAJINSKÉHO SEKRETARIÁTU VZDELÁVANIA, PREDPISOV, SPRÁVY A NÁRODNOSTNÝCH MENŠÍN – NÁRODNOSTNÝCH SPOLOČENSTIEV </w:t>
      </w:r>
      <w:r w:rsidR="00360F3C">
        <w:rPr>
          <w:rFonts w:ascii="Calibri" w:hAnsi="Calibri"/>
          <w:b/>
          <w:caps/>
          <w:sz w:val="20"/>
          <w:szCs w:val="20"/>
        </w:rPr>
        <w:t xml:space="preserve">             </w:t>
      </w:r>
      <w:r>
        <w:rPr>
          <w:rFonts w:ascii="Calibri" w:hAnsi="Calibri"/>
          <w:b/>
          <w:caps/>
          <w:sz w:val="20"/>
          <w:szCs w:val="20"/>
        </w:rPr>
        <w:t xml:space="preserve">NA FINANCOVANIE A SPOLUFINACOVANIE ZÁKLADNÝCH A STREDNÝCH ŠKÔL V APV, </w:t>
      </w:r>
      <w:r w:rsidR="00360F3C">
        <w:rPr>
          <w:rFonts w:ascii="Calibri" w:hAnsi="Calibri"/>
          <w:b/>
          <w:caps/>
          <w:sz w:val="20"/>
          <w:szCs w:val="20"/>
        </w:rPr>
        <w:t xml:space="preserve">                 </w:t>
      </w:r>
      <w:r>
        <w:rPr>
          <w:rFonts w:ascii="Calibri" w:hAnsi="Calibri"/>
          <w:b/>
          <w:caps/>
          <w:sz w:val="20"/>
          <w:szCs w:val="20"/>
        </w:rPr>
        <w:t>KTORÉ USKUTOČŇUJÚ DVOJJAZYČ</w:t>
      </w:r>
      <w:r w:rsidR="00360F3C">
        <w:rPr>
          <w:rFonts w:ascii="Calibri" w:hAnsi="Calibri"/>
          <w:b/>
          <w:caps/>
          <w:sz w:val="20"/>
          <w:szCs w:val="20"/>
        </w:rPr>
        <w:t>NÉ VYUČOVANIE V ROKU 2026</w:t>
      </w:r>
    </w:p>
    <w:p w14:paraId="19A50080" w14:textId="77777777" w:rsidR="00B9433E" w:rsidRPr="005F2EC2" w:rsidRDefault="00B9433E" w:rsidP="00B9433E">
      <w:pPr>
        <w:jc w:val="center"/>
        <w:rPr>
          <w:rFonts w:ascii="Calibri" w:hAnsi="Calibri" w:cs="Calibri"/>
          <w:b/>
          <w:sz w:val="20"/>
          <w:szCs w:val="20"/>
          <w:lang w:val="sr-Cyrl-RS"/>
        </w:rPr>
      </w:pPr>
    </w:p>
    <w:p w14:paraId="1D19D92E" w14:textId="6C239C6B" w:rsidR="00D61E68" w:rsidRPr="00CA2A87" w:rsidRDefault="006121A4" w:rsidP="00CA2A87">
      <w:pPr>
        <w:jc w:val="center"/>
        <w:rPr>
          <w:rFonts w:ascii="Calibri" w:hAnsi="Calibri"/>
          <w:b/>
          <w:sz w:val="20"/>
          <w:szCs w:val="20"/>
        </w:rPr>
      </w:pPr>
      <w:r>
        <w:rPr>
          <w:rFonts w:ascii="Calibri" w:hAnsi="Calibri"/>
          <w:b/>
          <w:sz w:val="20"/>
          <w:szCs w:val="20"/>
        </w:rPr>
        <w:t>Všeobecné ustanovenia</w:t>
      </w:r>
    </w:p>
    <w:p w14:paraId="6A10F30F" w14:textId="5DFCE85A" w:rsidR="00B9433E" w:rsidRDefault="00B9433E" w:rsidP="00B9433E">
      <w:pPr>
        <w:jc w:val="center"/>
        <w:rPr>
          <w:rFonts w:ascii="Calibri" w:hAnsi="Calibri"/>
          <w:b/>
          <w:sz w:val="20"/>
          <w:szCs w:val="20"/>
        </w:rPr>
      </w:pPr>
      <w:r>
        <w:rPr>
          <w:rFonts w:ascii="Calibri" w:hAnsi="Calibri"/>
          <w:b/>
          <w:sz w:val="20"/>
          <w:szCs w:val="20"/>
        </w:rPr>
        <w:t>Článok 1</w:t>
      </w:r>
    </w:p>
    <w:p w14:paraId="4A6ABED4" w14:textId="77777777" w:rsidR="00D61E68" w:rsidRPr="005F2EC2" w:rsidRDefault="00D61E68" w:rsidP="00B9433E">
      <w:pPr>
        <w:jc w:val="center"/>
        <w:rPr>
          <w:rFonts w:ascii="Calibri" w:hAnsi="Calibri" w:cs="Calibri"/>
          <w:b/>
          <w:sz w:val="20"/>
          <w:szCs w:val="20"/>
        </w:rPr>
      </w:pPr>
    </w:p>
    <w:p w14:paraId="7DBCB0F8" w14:textId="6C32F60B" w:rsidR="00C33CEB" w:rsidRPr="005F2EC2" w:rsidRDefault="009F6296" w:rsidP="009F6296">
      <w:pPr>
        <w:spacing w:after="60"/>
        <w:jc w:val="both"/>
        <w:rPr>
          <w:rFonts w:ascii="Calibri" w:hAnsi="Calibri" w:cs="Calibri"/>
          <w:noProof/>
          <w:sz w:val="20"/>
          <w:szCs w:val="20"/>
        </w:rPr>
      </w:pPr>
      <w:r>
        <w:rPr>
          <w:rFonts w:ascii="Calibri" w:hAnsi="Calibri"/>
          <w:sz w:val="20"/>
          <w:szCs w:val="20"/>
        </w:rPr>
        <w:t xml:space="preserve">   Tieto pravidlá upravujú spôsob a kritériá prideľovania finančných prostriedkov na financovanie a spolufinancovanie základných a stredných škôl v APV, ktoré realizujú dvojjazyčné vyučovanie (ďalej len: dvojjazyčné školy) v súlade s apropriáciami schválenými uznesením o rozpočte Autonómnej pokrajiny Vojvodiny v rámci oddielu Pokrajinského sekretariátu vzdelávania, predpisov, správy, národnostných menšín – národnostných spoločenstiev (ďalej len: pokrajinský sekretariát).</w:t>
      </w:r>
    </w:p>
    <w:p w14:paraId="54B55F1D" w14:textId="61B57E2B" w:rsidR="00D925D4" w:rsidRPr="005F2EC2" w:rsidRDefault="009F6296" w:rsidP="009F6296">
      <w:pPr>
        <w:ind w:right="120"/>
        <w:jc w:val="both"/>
        <w:rPr>
          <w:rFonts w:ascii="Calibri" w:hAnsi="Calibri" w:cs="Calibri"/>
          <w:noProof/>
          <w:sz w:val="20"/>
          <w:szCs w:val="20"/>
        </w:rPr>
      </w:pPr>
      <w:r>
        <w:rPr>
          <w:rFonts w:ascii="Calibri" w:hAnsi="Calibri"/>
          <w:sz w:val="20"/>
          <w:szCs w:val="20"/>
        </w:rPr>
        <w:t xml:space="preserve">    Všetky pojmy použité v týchto pravidlách v mužskom gramatickom rode zahŕňajú mužský aj ženský rod osoby, na ktorú sa vzťahujú.</w:t>
      </w:r>
    </w:p>
    <w:p w14:paraId="32E03278" w14:textId="57504B76" w:rsidR="00D61E68" w:rsidRPr="00CA2A87" w:rsidRDefault="00D925D4" w:rsidP="00CA2A87">
      <w:pPr>
        <w:widowControl w:val="0"/>
        <w:autoSpaceDE w:val="0"/>
        <w:autoSpaceDN w:val="0"/>
        <w:ind w:left="123" w:right="118" w:firstLine="406"/>
        <w:jc w:val="center"/>
        <w:rPr>
          <w:rFonts w:ascii="Calibri" w:hAnsi="Calibri" w:cs="Calibri"/>
          <w:b/>
          <w:sz w:val="20"/>
          <w:szCs w:val="20"/>
        </w:rPr>
      </w:pPr>
      <w:r>
        <w:rPr>
          <w:rFonts w:ascii="Calibri" w:hAnsi="Calibri"/>
          <w:b/>
          <w:sz w:val="20"/>
          <w:szCs w:val="20"/>
        </w:rPr>
        <w:t>Výška prostriedkov</w:t>
      </w:r>
    </w:p>
    <w:p w14:paraId="043C663A" w14:textId="03AD8551" w:rsidR="00C45C09" w:rsidRPr="005F2EC2" w:rsidRDefault="00C45C09" w:rsidP="005F2EC2">
      <w:pPr>
        <w:widowControl w:val="0"/>
        <w:autoSpaceDE w:val="0"/>
        <w:autoSpaceDN w:val="0"/>
        <w:ind w:left="123" w:right="118" w:firstLine="406"/>
        <w:jc w:val="center"/>
        <w:rPr>
          <w:rFonts w:ascii="Calibri" w:hAnsi="Calibri" w:cs="Calibri"/>
          <w:b/>
          <w:sz w:val="20"/>
          <w:szCs w:val="20"/>
        </w:rPr>
      </w:pPr>
      <w:r>
        <w:rPr>
          <w:rFonts w:ascii="Calibri" w:hAnsi="Calibri"/>
          <w:b/>
          <w:sz w:val="20"/>
          <w:szCs w:val="20"/>
        </w:rPr>
        <w:t>Článok 2</w:t>
      </w:r>
    </w:p>
    <w:p w14:paraId="3BADDDAB" w14:textId="630324F2" w:rsidR="00D925D4" w:rsidRPr="005F2EC2" w:rsidRDefault="009F6296" w:rsidP="005F2EC2">
      <w:pPr>
        <w:spacing w:before="240"/>
        <w:jc w:val="both"/>
        <w:rPr>
          <w:rFonts w:ascii="Calibri" w:hAnsi="Calibri" w:cs="Calibri"/>
          <w:noProof/>
          <w:sz w:val="20"/>
          <w:szCs w:val="20"/>
        </w:rPr>
      </w:pPr>
      <w:r>
        <w:rPr>
          <w:rFonts w:ascii="Calibri" w:hAnsi="Calibri"/>
          <w:sz w:val="20"/>
          <w:szCs w:val="20"/>
        </w:rPr>
        <w:t xml:space="preserve">    Prostriedky poskytnuté Pokrajinským parlamentným uznesením o rozpočte Autonómnej pokrajiny Vojvodiny na rok 2026 na financovanie a spolufinancovanie základných a stredných škôl v AP Vojvodine, ktoré realizujú dvojjazyčné vyučovanie v roku 2026</w:t>
      </w:r>
      <w:r>
        <w:rPr>
          <w:rFonts w:ascii="Calibri" w:hAnsi="Calibri"/>
          <w:b/>
          <w:bCs/>
          <w:sz w:val="20"/>
          <w:szCs w:val="20"/>
        </w:rPr>
        <w:t xml:space="preserve"> </w:t>
      </w:r>
      <w:r>
        <w:rPr>
          <w:rFonts w:ascii="Calibri" w:hAnsi="Calibri"/>
          <w:sz w:val="20"/>
          <w:szCs w:val="20"/>
        </w:rPr>
        <w:t>(ďalej len: prijímatelia) predstavujú 1 000 000,00 dinárov, v rámci základného vzdelávania 480 000,00 dinárov a v rámci stredného vzdelávania 520 000,00 dinárov, a to nasledovne:</w:t>
      </w:r>
    </w:p>
    <w:p w14:paraId="181DCF40" w14:textId="77777777" w:rsidR="00D925D4" w:rsidRPr="005F2EC2" w:rsidRDefault="00D925D4" w:rsidP="005F2EC2">
      <w:pPr>
        <w:numPr>
          <w:ilvl w:val="0"/>
          <w:numId w:val="10"/>
        </w:numPr>
        <w:spacing w:before="60"/>
        <w:ind w:left="567" w:hanging="425"/>
        <w:contextualSpacing/>
        <w:jc w:val="both"/>
        <w:rPr>
          <w:rFonts w:ascii="Calibri" w:hAnsi="Calibri" w:cs="Calibri"/>
          <w:noProof/>
          <w:sz w:val="20"/>
          <w:szCs w:val="20"/>
        </w:rPr>
      </w:pPr>
      <w:r>
        <w:rPr>
          <w:rFonts w:ascii="Calibri" w:hAnsi="Calibri"/>
          <w:sz w:val="20"/>
          <w:szCs w:val="20"/>
        </w:rPr>
        <w:t>pre základné vzdelávanie</w:t>
      </w:r>
    </w:p>
    <w:p w14:paraId="4AA493D4" w14:textId="555791C5" w:rsidR="00D925D4" w:rsidRPr="005F2EC2" w:rsidRDefault="00D925D4" w:rsidP="000D7666">
      <w:pPr>
        <w:pStyle w:val="ListParagraph"/>
        <w:numPr>
          <w:ilvl w:val="0"/>
          <w:numId w:val="14"/>
        </w:numPr>
        <w:jc w:val="both"/>
        <w:rPr>
          <w:rFonts w:cs="Calibri"/>
          <w:noProof/>
          <w:sz w:val="20"/>
          <w:szCs w:val="20"/>
        </w:rPr>
      </w:pPr>
      <w:r w:rsidRPr="00360F3C">
        <w:rPr>
          <w:bCs/>
          <w:sz w:val="20"/>
          <w:szCs w:val="20"/>
        </w:rPr>
        <w:t>programové náklady</w:t>
      </w:r>
      <w:r>
        <w:rPr>
          <w:sz w:val="20"/>
          <w:szCs w:val="20"/>
        </w:rPr>
        <w:t xml:space="preserve"> vo funkcii realizácie dvojjazyčnej výučby (financovanie vykonávateľov, ktorí realizujú dvojjazyčné vyučovanie, náklady na vzdelávacie materiály, odborné zdokonaľovanie zamestnancov – školenie osvetových pracovníkov v tuzemsku a v zahraničí, náklady na obstaranie odbornej literatúry a didaktického materiálu, ako aj všetky ostatné výdavky na realizáciu dvojjazyčnej výučby) </w:t>
      </w:r>
      <w:r w:rsidRPr="00360F3C">
        <w:rPr>
          <w:bCs/>
          <w:sz w:val="20"/>
          <w:szCs w:val="20"/>
        </w:rPr>
        <w:t>224 640,00 dinárov,</w:t>
      </w:r>
    </w:p>
    <w:p w14:paraId="26C81418" w14:textId="132A2205" w:rsidR="00D925D4" w:rsidRPr="005F2EC2" w:rsidRDefault="00D925D4" w:rsidP="000D7666">
      <w:pPr>
        <w:pStyle w:val="ListParagraph"/>
        <w:numPr>
          <w:ilvl w:val="0"/>
          <w:numId w:val="14"/>
        </w:numPr>
        <w:spacing w:before="60"/>
        <w:jc w:val="both"/>
        <w:rPr>
          <w:rFonts w:cs="Calibri"/>
          <w:noProof/>
          <w:sz w:val="20"/>
          <w:szCs w:val="20"/>
        </w:rPr>
      </w:pPr>
      <w:r w:rsidRPr="00360F3C">
        <w:rPr>
          <w:bCs/>
          <w:sz w:val="20"/>
          <w:szCs w:val="20"/>
        </w:rPr>
        <w:t>obstaranie vybavenia</w:t>
      </w:r>
      <w:r>
        <w:rPr>
          <w:b/>
          <w:bCs/>
          <w:sz w:val="20"/>
          <w:szCs w:val="20"/>
        </w:rPr>
        <w:t xml:space="preserve"> </w:t>
      </w:r>
      <w:r>
        <w:rPr>
          <w:sz w:val="20"/>
          <w:szCs w:val="20"/>
        </w:rPr>
        <w:t>vo funkcii realizácie dvojjazyčného vyučovania</w:t>
      </w:r>
      <w:r>
        <w:rPr>
          <w:b/>
          <w:bCs/>
          <w:sz w:val="20"/>
          <w:szCs w:val="20"/>
        </w:rPr>
        <w:t xml:space="preserve"> </w:t>
      </w:r>
      <w:r w:rsidRPr="00360F3C">
        <w:rPr>
          <w:bCs/>
          <w:sz w:val="20"/>
          <w:szCs w:val="20"/>
        </w:rPr>
        <w:t>255 360,00 dinárov</w:t>
      </w:r>
      <w:r w:rsidRPr="00360F3C">
        <w:rPr>
          <w:sz w:val="20"/>
          <w:szCs w:val="20"/>
        </w:rPr>
        <w:t>,</w:t>
      </w:r>
      <w:r>
        <w:rPr>
          <w:sz w:val="20"/>
          <w:szCs w:val="20"/>
        </w:rPr>
        <w:t xml:space="preserve"> </w:t>
      </w:r>
    </w:p>
    <w:p w14:paraId="64B79BA8" w14:textId="77777777" w:rsidR="00D925D4" w:rsidRPr="005F2EC2" w:rsidRDefault="00D925D4" w:rsidP="00D925D4">
      <w:pPr>
        <w:numPr>
          <w:ilvl w:val="0"/>
          <w:numId w:val="10"/>
        </w:numPr>
        <w:spacing w:before="60" w:after="160" w:line="256" w:lineRule="auto"/>
        <w:ind w:left="567" w:hanging="425"/>
        <w:contextualSpacing/>
        <w:jc w:val="both"/>
        <w:rPr>
          <w:rFonts w:ascii="Calibri" w:hAnsi="Calibri" w:cs="Calibri"/>
          <w:noProof/>
          <w:sz w:val="20"/>
          <w:szCs w:val="20"/>
        </w:rPr>
      </w:pPr>
      <w:r>
        <w:rPr>
          <w:rFonts w:ascii="Calibri" w:hAnsi="Calibri"/>
          <w:sz w:val="20"/>
          <w:szCs w:val="20"/>
        </w:rPr>
        <w:t>pre stredné vzdelávanie</w:t>
      </w:r>
    </w:p>
    <w:p w14:paraId="395A8AFC" w14:textId="01C8CFE9" w:rsidR="00D925D4" w:rsidRPr="00360F3C" w:rsidRDefault="00D925D4" w:rsidP="00360F3C">
      <w:pPr>
        <w:pStyle w:val="ListParagraph"/>
        <w:numPr>
          <w:ilvl w:val="0"/>
          <w:numId w:val="14"/>
        </w:numPr>
        <w:spacing w:before="60" w:after="0"/>
        <w:jc w:val="both"/>
        <w:rPr>
          <w:rFonts w:cs="Calibri"/>
          <w:noProof/>
          <w:sz w:val="20"/>
          <w:szCs w:val="20"/>
        </w:rPr>
      </w:pPr>
      <w:r w:rsidRPr="00360F3C">
        <w:rPr>
          <w:bCs/>
          <w:sz w:val="20"/>
          <w:szCs w:val="20"/>
        </w:rPr>
        <w:t>programové náklady</w:t>
      </w:r>
      <w:r>
        <w:rPr>
          <w:sz w:val="20"/>
          <w:szCs w:val="20"/>
        </w:rPr>
        <w:t xml:space="preserve"> vo funkcii realizácie dvojjazyčného vyučovania (financovanie vykonávateľov, ktorí uskutočňujú dvojjazyčné vyučovanie, náklady na vzdelávacie materiály, odborné zdokonaľovanie zamestnancov – školenie osvetových pracovníkov v tuzemsku a v zahraničí, náklady na obstaranie odbornej literatúry a didaktického materiálu, ročné členské poplatky za licenciu Cambridge Center a členské poplatky za medzinárodnú maturitu – IB, ako aj všetky ostatné výdavky na realizáciu dvojjazyčného vyučovania </w:t>
      </w:r>
      <w:r w:rsidRPr="00360F3C">
        <w:rPr>
          <w:bCs/>
          <w:sz w:val="20"/>
          <w:szCs w:val="20"/>
        </w:rPr>
        <w:t>520 000,00 dinárov.</w:t>
      </w:r>
    </w:p>
    <w:p w14:paraId="18597252" w14:textId="4B45F4FB" w:rsidR="00D61E68" w:rsidRPr="00CA2A87" w:rsidRDefault="006121A4" w:rsidP="00CA2A87">
      <w:pPr>
        <w:pStyle w:val="stil1tekst"/>
        <w:spacing w:after="0" w:afterAutospacing="0"/>
        <w:jc w:val="center"/>
        <w:rPr>
          <w:rFonts w:ascii="Calibri" w:hAnsi="Calibri" w:cs="Calibri"/>
          <w:b/>
          <w:noProof/>
          <w:sz w:val="20"/>
          <w:szCs w:val="20"/>
        </w:rPr>
      </w:pPr>
      <w:r>
        <w:rPr>
          <w:rFonts w:ascii="Calibri" w:hAnsi="Calibri"/>
          <w:b/>
          <w:sz w:val="20"/>
          <w:szCs w:val="20"/>
        </w:rPr>
        <w:t>Účel prostriedkov</w:t>
      </w:r>
    </w:p>
    <w:p w14:paraId="43735904" w14:textId="7C27A7B3" w:rsidR="006121A4" w:rsidRPr="005F2EC2" w:rsidRDefault="006121A4" w:rsidP="006121A4">
      <w:pPr>
        <w:jc w:val="center"/>
        <w:rPr>
          <w:rFonts w:ascii="Calibri" w:hAnsi="Calibri" w:cs="Calibri"/>
          <w:b/>
          <w:sz w:val="20"/>
          <w:szCs w:val="20"/>
        </w:rPr>
      </w:pPr>
      <w:r>
        <w:rPr>
          <w:rFonts w:ascii="Calibri" w:hAnsi="Calibri"/>
          <w:b/>
          <w:sz w:val="20"/>
          <w:szCs w:val="20"/>
        </w:rPr>
        <w:t>Článok 3</w:t>
      </w:r>
    </w:p>
    <w:p w14:paraId="4627DB3C" w14:textId="16C467C0" w:rsidR="00B9433E" w:rsidRPr="005F2EC2" w:rsidRDefault="009F6296" w:rsidP="009F6296">
      <w:pPr>
        <w:pStyle w:val="stil1tekst"/>
        <w:jc w:val="both"/>
        <w:rPr>
          <w:rFonts w:ascii="Calibri" w:hAnsi="Calibri" w:cs="Calibri"/>
          <w:noProof/>
          <w:sz w:val="20"/>
          <w:szCs w:val="20"/>
        </w:rPr>
      </w:pPr>
      <w:r>
        <w:rPr>
          <w:rFonts w:ascii="Calibri" w:hAnsi="Calibri"/>
          <w:sz w:val="20"/>
          <w:szCs w:val="20"/>
        </w:rPr>
        <w:lastRenderedPageBreak/>
        <w:t xml:space="preserve">    Vyčlenené prostriedky sú určené na:</w:t>
      </w:r>
    </w:p>
    <w:p w14:paraId="021263B8" w14:textId="77777777" w:rsidR="00B9433E" w:rsidRPr="005F2EC2" w:rsidRDefault="00B9433E" w:rsidP="00B9433E">
      <w:pPr>
        <w:numPr>
          <w:ilvl w:val="0"/>
          <w:numId w:val="3"/>
        </w:numPr>
        <w:spacing w:before="100" w:beforeAutospacing="1" w:after="100" w:afterAutospacing="1" w:line="276" w:lineRule="auto"/>
        <w:jc w:val="both"/>
        <w:rPr>
          <w:rFonts w:ascii="Calibri" w:hAnsi="Calibri" w:cs="Calibri"/>
          <w:noProof/>
          <w:sz w:val="20"/>
          <w:szCs w:val="20"/>
        </w:rPr>
      </w:pPr>
      <w:r w:rsidRPr="00360F3C">
        <w:rPr>
          <w:rFonts w:ascii="Calibri" w:hAnsi="Calibri"/>
          <w:bCs/>
          <w:sz w:val="20"/>
          <w:szCs w:val="20"/>
        </w:rPr>
        <w:t>obstaranie vybavenia</w:t>
      </w:r>
      <w:r>
        <w:rPr>
          <w:rFonts w:ascii="Calibri" w:hAnsi="Calibri"/>
          <w:b/>
          <w:bCs/>
          <w:sz w:val="20"/>
          <w:szCs w:val="20"/>
        </w:rPr>
        <w:t xml:space="preserve"> </w:t>
      </w:r>
      <w:r>
        <w:rPr>
          <w:rFonts w:ascii="Calibri" w:hAnsi="Calibri"/>
          <w:sz w:val="20"/>
          <w:szCs w:val="20"/>
        </w:rPr>
        <w:t>na uskutočnenie dvojjazyčného vyučovania</w:t>
      </w:r>
      <w:r>
        <w:rPr>
          <w:rFonts w:ascii="Calibri" w:hAnsi="Calibri"/>
          <w:b/>
          <w:bCs/>
          <w:sz w:val="20"/>
          <w:szCs w:val="20"/>
        </w:rPr>
        <w:t xml:space="preserve"> </w:t>
      </w:r>
      <w:r w:rsidRPr="00360F3C">
        <w:rPr>
          <w:rFonts w:ascii="Calibri" w:hAnsi="Calibri"/>
          <w:bCs/>
          <w:sz w:val="20"/>
          <w:szCs w:val="20"/>
        </w:rPr>
        <w:t>a</w:t>
      </w:r>
      <w:r>
        <w:rPr>
          <w:rFonts w:ascii="Calibri" w:hAnsi="Calibri"/>
          <w:b/>
          <w:bCs/>
          <w:sz w:val="20"/>
          <w:szCs w:val="20"/>
        </w:rPr>
        <w:t xml:space="preserve"> </w:t>
      </w:r>
    </w:p>
    <w:p w14:paraId="168831EF" w14:textId="77777777" w:rsidR="00B9433E" w:rsidRPr="005F2EC2" w:rsidRDefault="00B9433E" w:rsidP="00B9433E">
      <w:pPr>
        <w:numPr>
          <w:ilvl w:val="0"/>
          <w:numId w:val="3"/>
        </w:numPr>
        <w:spacing w:before="100" w:beforeAutospacing="1" w:after="100" w:afterAutospacing="1" w:line="276" w:lineRule="auto"/>
        <w:jc w:val="both"/>
        <w:rPr>
          <w:rFonts w:ascii="Calibri" w:hAnsi="Calibri" w:cs="Calibri"/>
          <w:noProof/>
          <w:sz w:val="20"/>
          <w:szCs w:val="20"/>
        </w:rPr>
      </w:pPr>
      <w:r>
        <w:rPr>
          <w:rFonts w:ascii="Calibri" w:hAnsi="Calibri"/>
          <w:sz w:val="20"/>
          <w:szCs w:val="20"/>
        </w:rPr>
        <w:t xml:space="preserve">financovanie vykonávateľov, ktorí uskutočňujú dvojjazyčné vyučovanie, náklady na vzdelávacie materiály, odborné zdokonaľovanie zamestnancov – školenie osvetových pracovníkov (v tuzemsku a v zahraničí), náklady na obstaranie odbornej literatúry a didaktického materiálu, ročné členské poplatky za licenciu Cambridge Center a členské poplatky za medzinárodnú maturitu – IB, ako aj všetky ďalšie výdavky na realizáciu dvojjazyčného vyučovania. </w:t>
      </w:r>
    </w:p>
    <w:p w14:paraId="01F05820" w14:textId="5B5D9403" w:rsidR="00B9433E" w:rsidRPr="005F2EC2" w:rsidRDefault="009F6296" w:rsidP="009F6296">
      <w:pPr>
        <w:pStyle w:val="stil1tekst"/>
        <w:jc w:val="both"/>
        <w:rPr>
          <w:rFonts w:ascii="Calibri" w:hAnsi="Calibri" w:cs="Calibri"/>
          <w:noProof/>
          <w:sz w:val="20"/>
          <w:szCs w:val="20"/>
        </w:rPr>
      </w:pPr>
      <w:r>
        <w:rPr>
          <w:rFonts w:ascii="Calibri" w:hAnsi="Calibri"/>
          <w:sz w:val="20"/>
          <w:szCs w:val="20"/>
        </w:rPr>
        <w:t xml:space="preserve">    Finančné prostriedky na uvedené účely sú zabezpečené v rozpočte Autonómnej pokrajiny Vojvodiny (ďalej len: rozpočet AP Vojvodiny) a vedú sa  na osobitnom rozpočtovom oddiele Pokrajinského sekretariátu vzdelávania, predpisov, správy a národnostných menšín – národnostných spoločenstiev (ďalej len: sekretariát).</w:t>
      </w:r>
    </w:p>
    <w:p w14:paraId="5D937395" w14:textId="466817FB" w:rsidR="00D61E68" w:rsidRPr="00CA2A87" w:rsidRDefault="006121A4" w:rsidP="00CA2A87">
      <w:pPr>
        <w:jc w:val="center"/>
        <w:rPr>
          <w:rFonts w:ascii="Calibri" w:hAnsi="Calibri" w:cs="Calibri"/>
          <w:b/>
          <w:noProof/>
          <w:sz w:val="20"/>
          <w:szCs w:val="20"/>
        </w:rPr>
      </w:pPr>
      <w:r>
        <w:rPr>
          <w:rFonts w:ascii="Calibri" w:hAnsi="Calibri"/>
          <w:b/>
          <w:sz w:val="20"/>
          <w:szCs w:val="20"/>
        </w:rPr>
        <w:t>Právo na pridelenie finančných prostriedkov</w:t>
      </w:r>
    </w:p>
    <w:p w14:paraId="277757AF" w14:textId="7CC5FA82" w:rsidR="00B9433E" w:rsidRDefault="00B9433E" w:rsidP="005F2EC2">
      <w:pPr>
        <w:jc w:val="center"/>
        <w:rPr>
          <w:rFonts w:ascii="Calibri" w:hAnsi="Calibri"/>
          <w:b/>
          <w:sz w:val="20"/>
          <w:szCs w:val="20"/>
        </w:rPr>
      </w:pPr>
      <w:r>
        <w:rPr>
          <w:rFonts w:ascii="Calibri" w:hAnsi="Calibri"/>
          <w:b/>
          <w:sz w:val="20"/>
          <w:szCs w:val="20"/>
        </w:rPr>
        <w:t>Článok 4</w:t>
      </w:r>
    </w:p>
    <w:p w14:paraId="52285632" w14:textId="77777777" w:rsidR="00D61E68" w:rsidRPr="005F2EC2" w:rsidRDefault="00D61E68" w:rsidP="005F2EC2">
      <w:pPr>
        <w:jc w:val="center"/>
        <w:rPr>
          <w:rFonts w:ascii="Calibri" w:hAnsi="Calibri" w:cs="Calibri"/>
          <w:b/>
          <w:sz w:val="20"/>
          <w:szCs w:val="20"/>
        </w:rPr>
      </w:pPr>
    </w:p>
    <w:p w14:paraId="417FDEB0" w14:textId="0FDCCBE1" w:rsidR="00B9433E" w:rsidRDefault="009F6296" w:rsidP="009F6296">
      <w:pPr>
        <w:jc w:val="both"/>
        <w:rPr>
          <w:rFonts w:ascii="Calibri" w:hAnsi="Calibri"/>
          <w:sz w:val="20"/>
          <w:szCs w:val="20"/>
        </w:rPr>
      </w:pPr>
      <w:r>
        <w:rPr>
          <w:rFonts w:ascii="Calibri" w:hAnsi="Calibri"/>
          <w:sz w:val="20"/>
          <w:szCs w:val="20"/>
        </w:rPr>
        <w:t xml:space="preserve">    Právo na pridelenie finančných prostriedkov majú ustanovizne základného a stredného vzdelávania, ktoré získali súhlas ministerstva zodpovedného pre oblasť školstva (ďalej len: ministerstvo) na vykonávanie dvojjazyčnej výučby.</w:t>
      </w:r>
    </w:p>
    <w:p w14:paraId="24862CFE" w14:textId="77777777" w:rsidR="00360F3C" w:rsidRPr="005F2EC2" w:rsidRDefault="00360F3C" w:rsidP="009F6296">
      <w:pPr>
        <w:jc w:val="both"/>
        <w:rPr>
          <w:rFonts w:ascii="Calibri" w:hAnsi="Calibri" w:cs="Calibri"/>
          <w:noProof/>
          <w:sz w:val="20"/>
          <w:szCs w:val="20"/>
        </w:rPr>
      </w:pPr>
    </w:p>
    <w:p w14:paraId="69E3F372" w14:textId="41A87A09" w:rsidR="00D61E68" w:rsidRPr="00CA2A87" w:rsidRDefault="00C45C09" w:rsidP="00CA2A87">
      <w:pPr>
        <w:widowControl w:val="0"/>
        <w:autoSpaceDE w:val="0"/>
        <w:autoSpaceDN w:val="0"/>
        <w:spacing w:line="228" w:lineRule="auto"/>
        <w:ind w:left="123" w:right="118" w:firstLine="406"/>
        <w:jc w:val="center"/>
        <w:rPr>
          <w:rFonts w:ascii="Calibri" w:hAnsi="Calibri" w:cs="Calibri"/>
          <w:b/>
          <w:sz w:val="20"/>
          <w:szCs w:val="20"/>
        </w:rPr>
      </w:pPr>
      <w:r>
        <w:rPr>
          <w:rFonts w:ascii="Calibri" w:hAnsi="Calibri"/>
          <w:b/>
          <w:sz w:val="20"/>
          <w:szCs w:val="20"/>
        </w:rPr>
        <w:t>Spôsob pridelenia prostriedkov</w:t>
      </w:r>
    </w:p>
    <w:p w14:paraId="3EE14159" w14:textId="68FF569F" w:rsidR="00B9433E" w:rsidRDefault="00B9433E" w:rsidP="005F2EC2">
      <w:pPr>
        <w:jc w:val="center"/>
        <w:rPr>
          <w:rFonts w:ascii="Calibri" w:hAnsi="Calibri"/>
          <w:b/>
          <w:sz w:val="20"/>
          <w:szCs w:val="20"/>
        </w:rPr>
      </w:pPr>
      <w:r>
        <w:rPr>
          <w:rFonts w:ascii="Calibri" w:hAnsi="Calibri"/>
          <w:b/>
          <w:sz w:val="20"/>
          <w:szCs w:val="20"/>
        </w:rPr>
        <w:t>Článok 5</w:t>
      </w:r>
    </w:p>
    <w:p w14:paraId="26AAF56B" w14:textId="77777777" w:rsidR="00D61E68" w:rsidRPr="005F2EC2" w:rsidRDefault="00D61E68" w:rsidP="005F2EC2">
      <w:pPr>
        <w:jc w:val="center"/>
        <w:rPr>
          <w:rFonts w:ascii="Calibri" w:hAnsi="Calibri" w:cs="Calibri"/>
          <w:b/>
          <w:sz w:val="20"/>
          <w:szCs w:val="20"/>
        </w:rPr>
      </w:pPr>
    </w:p>
    <w:p w14:paraId="6294C96C" w14:textId="31C6A5CC" w:rsidR="00650488" w:rsidRPr="005F2EC2" w:rsidRDefault="009F6296" w:rsidP="009F6296">
      <w:pPr>
        <w:jc w:val="both"/>
        <w:rPr>
          <w:rFonts w:ascii="Calibri" w:hAnsi="Calibri" w:cs="Calibri"/>
          <w:noProof/>
          <w:sz w:val="20"/>
          <w:szCs w:val="20"/>
        </w:rPr>
      </w:pPr>
      <w:r>
        <w:rPr>
          <w:rFonts w:ascii="Calibri" w:hAnsi="Calibri"/>
          <w:sz w:val="20"/>
          <w:szCs w:val="20"/>
        </w:rPr>
        <w:t xml:space="preserve">   Programy a projekty uvedené v článku 1 týchto pravidiel sa financujú a spolufinancujú prostredníctvom súbehu (ďalej len: súbeh), ktorý vypisuje sekretariát najmenej raz ročne v súlade s finančným plánom sekretariátu. </w:t>
      </w:r>
    </w:p>
    <w:p w14:paraId="01002920" w14:textId="0871806F" w:rsidR="00650488" w:rsidRPr="005F2EC2" w:rsidRDefault="009F6296" w:rsidP="009F6296">
      <w:pPr>
        <w:jc w:val="both"/>
        <w:rPr>
          <w:rFonts w:ascii="Calibri" w:hAnsi="Calibri" w:cs="Calibri"/>
          <w:noProof/>
          <w:sz w:val="20"/>
          <w:szCs w:val="20"/>
        </w:rPr>
      </w:pPr>
      <w:r>
        <w:rPr>
          <w:rFonts w:ascii="Calibri" w:hAnsi="Calibri"/>
          <w:sz w:val="20"/>
          <w:szCs w:val="20"/>
        </w:rPr>
        <w:t xml:space="preserve">   Súbeh obsahuje údaje o názve aktu, na základe ktorého sa vypisuje súbeh, výšku celkových prostriedkov určených na pridelenie v rámci súbehu, o tom, kto sa môže prihlásiť na súbeh a na aké účely, kritériá, podľa ktorých sa prihlášky na súbeh zoradia, spôsob a lehotu predkladania prihlášok na súbeh, ako aj inú dokumentáciu preukazujúcu splnenie požiadaviek a kritérií na podávanie prihlášky na súbeh.</w:t>
      </w:r>
    </w:p>
    <w:p w14:paraId="09BBF353" w14:textId="3C3475EA" w:rsidR="00B9433E" w:rsidRPr="005F2EC2" w:rsidRDefault="00B9433E" w:rsidP="00D47DD6">
      <w:pPr>
        <w:rPr>
          <w:rFonts w:ascii="Calibri" w:hAnsi="Calibri" w:cs="Calibri"/>
          <w:b/>
          <w:sz w:val="20"/>
          <w:szCs w:val="20"/>
          <w:lang w:val="sr-Cyrl-CS"/>
        </w:rPr>
      </w:pPr>
    </w:p>
    <w:p w14:paraId="19E66A78" w14:textId="77777777" w:rsidR="00D61E68" w:rsidRDefault="00B9433E" w:rsidP="005F2EC2">
      <w:pPr>
        <w:jc w:val="center"/>
        <w:rPr>
          <w:rFonts w:ascii="Calibri" w:hAnsi="Calibri"/>
          <w:b/>
          <w:sz w:val="20"/>
          <w:szCs w:val="20"/>
        </w:rPr>
      </w:pPr>
      <w:r>
        <w:rPr>
          <w:rFonts w:ascii="Calibri" w:hAnsi="Calibri"/>
          <w:b/>
          <w:sz w:val="20"/>
          <w:szCs w:val="20"/>
        </w:rPr>
        <w:t>Článok 6</w:t>
      </w:r>
    </w:p>
    <w:p w14:paraId="6573D180" w14:textId="0795D3AE" w:rsidR="00B9433E" w:rsidRPr="005F2EC2" w:rsidRDefault="00B9433E" w:rsidP="005F2EC2">
      <w:pPr>
        <w:jc w:val="center"/>
        <w:rPr>
          <w:rFonts w:ascii="Calibri" w:hAnsi="Calibri" w:cs="Calibri"/>
          <w:b/>
          <w:sz w:val="20"/>
          <w:szCs w:val="20"/>
        </w:rPr>
      </w:pPr>
      <w:r>
        <w:rPr>
          <w:rFonts w:ascii="Calibri" w:hAnsi="Calibri"/>
          <w:b/>
          <w:sz w:val="20"/>
          <w:szCs w:val="20"/>
        </w:rPr>
        <w:t xml:space="preserve"> </w:t>
      </w:r>
    </w:p>
    <w:p w14:paraId="7B18B536" w14:textId="4E3BBD09" w:rsidR="00905BC0" w:rsidRPr="005F2EC2" w:rsidRDefault="009F6296" w:rsidP="009F6296">
      <w:pPr>
        <w:jc w:val="both"/>
        <w:rPr>
          <w:rFonts w:ascii="Calibri" w:hAnsi="Calibri" w:cs="Calibri"/>
          <w:noProof/>
          <w:sz w:val="20"/>
          <w:szCs w:val="20"/>
        </w:rPr>
      </w:pPr>
      <w:r>
        <w:rPr>
          <w:rFonts w:ascii="Calibri" w:hAnsi="Calibri"/>
          <w:sz w:val="20"/>
          <w:szCs w:val="20"/>
        </w:rPr>
        <w:t xml:space="preserve">    Súbeh sa zverejňuje v Úradnom vestníku Autonómnej pokrajiny Vojvodiny a na oficiálnej webovej stránke sekretariátu a oznámenie o súbehu a adresa webového sídla, na ktorom je zverejnený súbeh, sa zverejňuje najmenej v jednej dennej tlači, ktorá sa distribuuje pre celé územie Srbskej republiky.</w:t>
      </w:r>
    </w:p>
    <w:p w14:paraId="7DECC08A" w14:textId="6A2894DC" w:rsidR="00905BC0" w:rsidRPr="005F2EC2" w:rsidRDefault="009F6296" w:rsidP="009F6296">
      <w:pPr>
        <w:jc w:val="both"/>
        <w:rPr>
          <w:rFonts w:ascii="Calibri" w:hAnsi="Calibri" w:cs="Calibri"/>
          <w:noProof/>
          <w:sz w:val="20"/>
          <w:szCs w:val="20"/>
        </w:rPr>
      </w:pPr>
      <w:r>
        <w:rPr>
          <w:rFonts w:ascii="Calibri" w:hAnsi="Calibri"/>
          <w:sz w:val="20"/>
          <w:szCs w:val="20"/>
        </w:rPr>
        <w:t xml:space="preserve">   Súbeh alebo oznámenie o verejnom súbehu a adresa webového sídla, na ktorej je zverejnený súbeh, sa môžu zverejniť aj v jazykoch národnostných menšín – národnostných spoločenstiev, ktoré sa úradne používajú v práci orgánov Autonómnej pokrajiny Vojvodiny. </w:t>
      </w:r>
    </w:p>
    <w:p w14:paraId="7D9F7F1F" w14:textId="308B4537" w:rsidR="00D61E68" w:rsidRDefault="00D61E68" w:rsidP="00D61E68">
      <w:pPr>
        <w:rPr>
          <w:rFonts w:ascii="Calibri" w:hAnsi="Calibri"/>
          <w:b/>
          <w:sz w:val="20"/>
          <w:szCs w:val="20"/>
        </w:rPr>
      </w:pPr>
    </w:p>
    <w:p w14:paraId="0B37D2C4" w14:textId="00956FCE" w:rsidR="00D61E68" w:rsidRPr="00CA2A87" w:rsidRDefault="006121A4" w:rsidP="00CA2A87">
      <w:pPr>
        <w:jc w:val="center"/>
        <w:rPr>
          <w:rFonts w:ascii="Calibri" w:hAnsi="Calibri" w:cs="Calibri"/>
          <w:b/>
          <w:sz w:val="20"/>
          <w:szCs w:val="20"/>
        </w:rPr>
      </w:pPr>
      <w:r>
        <w:rPr>
          <w:rFonts w:ascii="Calibri" w:hAnsi="Calibri"/>
          <w:b/>
          <w:sz w:val="20"/>
          <w:szCs w:val="20"/>
        </w:rPr>
        <w:t>Prihlasovanie na súbeh</w:t>
      </w:r>
    </w:p>
    <w:p w14:paraId="33006B5D" w14:textId="7FEEDDAA" w:rsidR="00B9433E" w:rsidRDefault="00B9433E" w:rsidP="005F2EC2">
      <w:pPr>
        <w:jc w:val="center"/>
        <w:rPr>
          <w:rFonts w:ascii="Calibri" w:hAnsi="Calibri"/>
          <w:b/>
          <w:sz w:val="20"/>
          <w:szCs w:val="20"/>
        </w:rPr>
      </w:pPr>
      <w:r>
        <w:rPr>
          <w:rFonts w:ascii="Calibri" w:hAnsi="Calibri"/>
          <w:b/>
          <w:sz w:val="20"/>
          <w:szCs w:val="20"/>
        </w:rPr>
        <w:t>Článok 7</w:t>
      </w:r>
    </w:p>
    <w:p w14:paraId="09BACCEE" w14:textId="77777777" w:rsidR="00CA2A87" w:rsidRPr="005F2EC2" w:rsidRDefault="00CA2A87" w:rsidP="005F2EC2">
      <w:pPr>
        <w:jc w:val="center"/>
        <w:rPr>
          <w:rFonts w:ascii="Calibri" w:hAnsi="Calibri" w:cs="Calibri"/>
          <w:b/>
          <w:sz w:val="20"/>
          <w:szCs w:val="20"/>
        </w:rPr>
      </w:pPr>
    </w:p>
    <w:p w14:paraId="3223A301" w14:textId="179BEF37" w:rsidR="00B9433E" w:rsidRPr="005F2EC2" w:rsidRDefault="009F6296" w:rsidP="009F6296">
      <w:pPr>
        <w:jc w:val="both"/>
        <w:rPr>
          <w:rFonts w:ascii="Calibri" w:hAnsi="Calibri" w:cs="Calibri"/>
          <w:noProof/>
          <w:sz w:val="20"/>
          <w:szCs w:val="20"/>
        </w:rPr>
      </w:pPr>
      <w:r>
        <w:rPr>
          <w:rFonts w:ascii="Calibri" w:hAnsi="Calibri"/>
          <w:sz w:val="20"/>
          <w:szCs w:val="20"/>
        </w:rPr>
        <w:t xml:space="preserve">    Prihláška na súbeh sa podáva na jednotnom tlačive, ktoré je zverejnené na webovej stránke sekretariátu v lehote, ktorá spravidla nemôže byť kratšia ako 15 dní odo dňa zverejnenia súbehu.</w:t>
      </w:r>
    </w:p>
    <w:p w14:paraId="7F5FBDD0" w14:textId="158B8A1F" w:rsidR="000D7666" w:rsidRPr="00C52C83" w:rsidRDefault="000D7666" w:rsidP="00B9433E">
      <w:pPr>
        <w:ind w:firstLine="720"/>
        <w:jc w:val="both"/>
        <w:rPr>
          <w:rFonts w:ascii="Calibri" w:hAnsi="Calibri" w:cs="Calibri"/>
          <w:noProof/>
          <w:sz w:val="20"/>
          <w:szCs w:val="20"/>
        </w:rPr>
      </w:pPr>
      <w:r>
        <w:rPr>
          <w:rFonts w:ascii="Calibri" w:hAnsi="Calibri"/>
          <w:sz w:val="20"/>
          <w:szCs w:val="20"/>
        </w:rPr>
        <w:t>Súbeh je otvorený od 4. marca do 7. apríla 2026.</w:t>
      </w:r>
    </w:p>
    <w:p w14:paraId="2A1301A5" w14:textId="34E69889" w:rsidR="00201421" w:rsidRDefault="00201421" w:rsidP="00360F3C">
      <w:pPr>
        <w:rPr>
          <w:rFonts w:ascii="Calibri" w:hAnsi="Calibri" w:cs="Calibri"/>
          <w:b/>
          <w:sz w:val="20"/>
          <w:szCs w:val="20"/>
          <w:lang w:val="sr-Cyrl-CS"/>
        </w:rPr>
      </w:pPr>
    </w:p>
    <w:p w14:paraId="19884C01" w14:textId="77777777" w:rsidR="00CA2A87" w:rsidRDefault="00CA2A87" w:rsidP="00CA2A87">
      <w:pPr>
        <w:ind w:firstLine="720"/>
        <w:jc w:val="center"/>
        <w:rPr>
          <w:rFonts w:ascii="Calibri" w:hAnsi="Calibri"/>
          <w:b/>
          <w:sz w:val="20"/>
          <w:szCs w:val="20"/>
        </w:rPr>
      </w:pPr>
    </w:p>
    <w:p w14:paraId="3658D459" w14:textId="77777777" w:rsidR="00CA2A87" w:rsidRDefault="00CA2A87" w:rsidP="00CA2A87">
      <w:pPr>
        <w:ind w:firstLine="720"/>
        <w:jc w:val="center"/>
        <w:rPr>
          <w:rFonts w:ascii="Calibri" w:hAnsi="Calibri"/>
          <w:b/>
          <w:sz w:val="20"/>
          <w:szCs w:val="20"/>
        </w:rPr>
      </w:pPr>
    </w:p>
    <w:p w14:paraId="6C917E84" w14:textId="1CD8704C" w:rsidR="00D61E68" w:rsidRPr="00CA2A87" w:rsidRDefault="006121A4" w:rsidP="00CA2A87">
      <w:pPr>
        <w:ind w:firstLine="720"/>
        <w:jc w:val="center"/>
        <w:rPr>
          <w:rFonts w:ascii="Calibri" w:hAnsi="Calibri" w:cs="Calibri"/>
          <w:b/>
          <w:sz w:val="20"/>
          <w:szCs w:val="20"/>
        </w:rPr>
      </w:pPr>
      <w:r>
        <w:rPr>
          <w:rFonts w:ascii="Calibri" w:hAnsi="Calibri"/>
          <w:b/>
          <w:sz w:val="20"/>
          <w:szCs w:val="20"/>
        </w:rPr>
        <w:lastRenderedPageBreak/>
        <w:t>Dokumentácia, ktorá sa podáva spolu s prihláškou</w:t>
      </w:r>
    </w:p>
    <w:p w14:paraId="28110CB3" w14:textId="779D6751" w:rsidR="00B9433E" w:rsidRPr="005F2EC2" w:rsidRDefault="00B9433E" w:rsidP="00B9433E">
      <w:pPr>
        <w:jc w:val="center"/>
        <w:rPr>
          <w:rFonts w:ascii="Calibri" w:hAnsi="Calibri" w:cs="Calibri"/>
          <w:b/>
          <w:sz w:val="20"/>
          <w:szCs w:val="20"/>
        </w:rPr>
      </w:pPr>
      <w:r>
        <w:rPr>
          <w:rFonts w:ascii="Calibri" w:hAnsi="Calibri"/>
          <w:b/>
          <w:sz w:val="20"/>
          <w:szCs w:val="20"/>
        </w:rPr>
        <w:t>Článok 8</w:t>
      </w:r>
    </w:p>
    <w:p w14:paraId="31210785" w14:textId="77777777" w:rsidR="00B9433E" w:rsidRPr="005F2EC2" w:rsidRDefault="00B9433E" w:rsidP="00B9433E">
      <w:pPr>
        <w:jc w:val="center"/>
        <w:rPr>
          <w:rFonts w:ascii="Calibri" w:hAnsi="Calibri" w:cs="Calibri"/>
          <w:b/>
          <w:sz w:val="20"/>
          <w:szCs w:val="20"/>
          <w:lang w:val="sr-Cyrl-CS"/>
        </w:rPr>
      </w:pPr>
    </w:p>
    <w:p w14:paraId="5B2A40A6" w14:textId="68565C88" w:rsidR="00B9433E" w:rsidRPr="005F2EC2" w:rsidRDefault="009F6296" w:rsidP="009F6296">
      <w:pPr>
        <w:jc w:val="both"/>
        <w:rPr>
          <w:rFonts w:ascii="Calibri" w:hAnsi="Calibri" w:cs="Calibri"/>
          <w:noProof/>
          <w:sz w:val="20"/>
          <w:szCs w:val="20"/>
        </w:rPr>
      </w:pPr>
      <w:r>
        <w:rPr>
          <w:rFonts w:ascii="Calibri" w:hAnsi="Calibri"/>
          <w:sz w:val="20"/>
          <w:szCs w:val="20"/>
        </w:rPr>
        <w:t xml:space="preserve">    S prihláškou na súbeh sa predkladá nasledovná dokumentácia:</w:t>
      </w:r>
    </w:p>
    <w:p w14:paraId="7EFEF725" w14:textId="77777777" w:rsidR="00B9433E" w:rsidRPr="005F2EC2" w:rsidRDefault="00B9433E" w:rsidP="00B9433E">
      <w:pPr>
        <w:jc w:val="both"/>
        <w:rPr>
          <w:rFonts w:ascii="Calibri" w:hAnsi="Calibri" w:cs="Calibri"/>
          <w:noProof/>
          <w:sz w:val="20"/>
          <w:szCs w:val="20"/>
          <w:lang w:val="sr-Cyrl-CS" w:eastAsia="en-GB"/>
        </w:rPr>
      </w:pPr>
    </w:p>
    <w:p w14:paraId="165C344A" w14:textId="60B38578" w:rsidR="00B9433E" w:rsidRPr="005F2EC2" w:rsidRDefault="00B9433E" w:rsidP="00B9433E">
      <w:pPr>
        <w:numPr>
          <w:ilvl w:val="0"/>
          <w:numId w:val="2"/>
        </w:numPr>
        <w:jc w:val="both"/>
        <w:rPr>
          <w:rFonts w:ascii="Calibri" w:hAnsi="Calibri" w:cs="Calibri"/>
          <w:noProof/>
          <w:sz w:val="20"/>
          <w:szCs w:val="20"/>
        </w:rPr>
      </w:pPr>
      <w:r>
        <w:rPr>
          <w:rFonts w:ascii="Calibri" w:hAnsi="Calibri"/>
          <w:sz w:val="20"/>
          <w:szCs w:val="20"/>
        </w:rPr>
        <w:t>fotokópia aktu potvrdzujúceho získaný súhlas ministerstva na uskutočňovanie dvojjazyčného vyučovania;</w:t>
      </w:r>
    </w:p>
    <w:p w14:paraId="6A4EB972" w14:textId="749C518A" w:rsidR="000320F4" w:rsidRPr="005F2EC2" w:rsidRDefault="00905BC0" w:rsidP="000320F4">
      <w:pPr>
        <w:numPr>
          <w:ilvl w:val="0"/>
          <w:numId w:val="2"/>
        </w:numPr>
        <w:jc w:val="both"/>
        <w:rPr>
          <w:rFonts w:ascii="Calibri" w:hAnsi="Calibri" w:cs="Calibri"/>
          <w:sz w:val="20"/>
          <w:szCs w:val="20"/>
        </w:rPr>
      </w:pPr>
      <w:r>
        <w:rPr>
          <w:rFonts w:ascii="Calibri" w:hAnsi="Calibri"/>
          <w:sz w:val="20"/>
          <w:szCs w:val="20"/>
        </w:rPr>
        <w:t>neviazaná ponuka – predbežný účet na programové náklady, nákup zariadenia (výpočet nákladov).</w:t>
      </w:r>
    </w:p>
    <w:p w14:paraId="07AE96EE" w14:textId="77777777" w:rsidR="00B9433E" w:rsidRPr="005F2EC2" w:rsidRDefault="00B9433E" w:rsidP="00B9433E">
      <w:pPr>
        <w:ind w:left="465"/>
        <w:jc w:val="both"/>
        <w:rPr>
          <w:rFonts w:ascii="Calibri" w:hAnsi="Calibri" w:cs="Calibri"/>
          <w:noProof/>
          <w:sz w:val="20"/>
          <w:szCs w:val="20"/>
          <w:lang w:val="sr-Cyrl-CS" w:eastAsia="en-GB"/>
        </w:rPr>
      </w:pPr>
    </w:p>
    <w:p w14:paraId="23DA9FDD" w14:textId="7F2F3B09" w:rsidR="0089754E" w:rsidRPr="005F2EC2" w:rsidRDefault="009F6296" w:rsidP="009F6296">
      <w:pPr>
        <w:jc w:val="both"/>
        <w:rPr>
          <w:rFonts w:ascii="Calibri" w:hAnsi="Calibri" w:cs="Calibri"/>
          <w:noProof/>
          <w:sz w:val="20"/>
          <w:szCs w:val="20"/>
        </w:rPr>
      </w:pPr>
      <w:r>
        <w:rPr>
          <w:rFonts w:ascii="Calibri" w:hAnsi="Calibri"/>
          <w:sz w:val="20"/>
          <w:szCs w:val="20"/>
        </w:rPr>
        <w:t xml:space="preserve">    V prípade potreby sekretariát si vyhradzuje právo vyžiadať si od žiadateľa doplňujúcu dokumentáciu a informácie; a ak žiadateľ neodpovie na žiadosť o doplnenie dokumentácie do 8 dní, sekretariát bude považovať žiadosť za neúplnú.</w:t>
      </w:r>
    </w:p>
    <w:p w14:paraId="49E59E54" w14:textId="2DCB71EE" w:rsidR="00B9433E" w:rsidRPr="005F2EC2" w:rsidRDefault="00B9433E" w:rsidP="009F6296">
      <w:pPr>
        <w:ind w:firstLine="465"/>
        <w:jc w:val="both"/>
        <w:rPr>
          <w:rFonts w:ascii="Calibri" w:hAnsi="Calibri" w:cs="Calibri"/>
          <w:noProof/>
          <w:sz w:val="20"/>
          <w:szCs w:val="20"/>
        </w:rPr>
      </w:pPr>
      <w:r>
        <w:rPr>
          <w:rFonts w:ascii="Calibri" w:hAnsi="Calibri"/>
          <w:sz w:val="20"/>
          <w:szCs w:val="20"/>
        </w:rPr>
        <w:t xml:space="preserve"> </w:t>
      </w:r>
    </w:p>
    <w:p w14:paraId="7C6677DD" w14:textId="429D51CB" w:rsidR="00D61E68" w:rsidRPr="00CA2A87" w:rsidRDefault="006121A4" w:rsidP="00CA2A87">
      <w:pPr>
        <w:jc w:val="center"/>
        <w:rPr>
          <w:rFonts w:ascii="Calibri" w:hAnsi="Calibri" w:cs="Calibri"/>
          <w:b/>
          <w:noProof/>
          <w:sz w:val="20"/>
          <w:szCs w:val="20"/>
        </w:rPr>
      </w:pPr>
      <w:r>
        <w:rPr>
          <w:rFonts w:ascii="Calibri" w:hAnsi="Calibri"/>
          <w:b/>
          <w:sz w:val="20"/>
          <w:szCs w:val="20"/>
        </w:rPr>
        <w:t>Komisia pre realizáciu súbehu</w:t>
      </w:r>
    </w:p>
    <w:p w14:paraId="6D5E10D8" w14:textId="77777777" w:rsidR="00D61E68" w:rsidRDefault="006121A4" w:rsidP="005F2EC2">
      <w:pPr>
        <w:jc w:val="center"/>
        <w:rPr>
          <w:rFonts w:ascii="Calibri" w:hAnsi="Calibri"/>
          <w:b/>
          <w:sz w:val="20"/>
          <w:szCs w:val="20"/>
        </w:rPr>
      </w:pPr>
      <w:r>
        <w:rPr>
          <w:rFonts w:ascii="Calibri" w:hAnsi="Calibri"/>
          <w:b/>
          <w:sz w:val="20"/>
          <w:szCs w:val="20"/>
        </w:rPr>
        <w:t>Článok 9</w:t>
      </w:r>
    </w:p>
    <w:p w14:paraId="1C8BB816" w14:textId="02115106" w:rsidR="00C45C09" w:rsidRPr="005F2EC2" w:rsidRDefault="006121A4" w:rsidP="005F2EC2">
      <w:pPr>
        <w:jc w:val="center"/>
        <w:rPr>
          <w:rFonts w:ascii="Calibri" w:hAnsi="Calibri" w:cs="Calibri"/>
          <w:noProof/>
          <w:sz w:val="20"/>
          <w:szCs w:val="20"/>
        </w:rPr>
      </w:pPr>
      <w:r>
        <w:rPr>
          <w:rFonts w:ascii="Calibri" w:hAnsi="Calibri"/>
          <w:sz w:val="20"/>
          <w:szCs w:val="20"/>
        </w:rPr>
        <w:t xml:space="preserve"> </w:t>
      </w:r>
    </w:p>
    <w:p w14:paraId="4C128641" w14:textId="48A5B64C" w:rsidR="006121A4" w:rsidRPr="005F2EC2" w:rsidRDefault="009F6296" w:rsidP="009F6296">
      <w:pPr>
        <w:jc w:val="both"/>
        <w:rPr>
          <w:rFonts w:ascii="Calibri" w:hAnsi="Calibri" w:cs="Calibri"/>
          <w:noProof/>
          <w:sz w:val="20"/>
          <w:szCs w:val="20"/>
        </w:rPr>
      </w:pPr>
      <w:r>
        <w:rPr>
          <w:rFonts w:ascii="Calibri" w:hAnsi="Calibri"/>
          <w:sz w:val="20"/>
          <w:szCs w:val="20"/>
        </w:rPr>
        <w:t xml:space="preserve">    Pokrajinský tajomník príslušný pre úkony vzdelávania (ďalej len: pokrajinský tajomník) zriaďuje komisiu pre realizáciu súbehu.</w:t>
      </w:r>
    </w:p>
    <w:p w14:paraId="7DB541ED" w14:textId="5B12E012" w:rsidR="006121A4" w:rsidRPr="005F2EC2" w:rsidRDefault="009F6296" w:rsidP="009F6296">
      <w:pPr>
        <w:shd w:val="clear" w:color="auto" w:fill="FFFFFF"/>
        <w:jc w:val="both"/>
        <w:rPr>
          <w:rFonts w:ascii="Calibri" w:hAnsi="Calibri" w:cs="Calibri"/>
          <w:noProof/>
          <w:sz w:val="20"/>
          <w:szCs w:val="20"/>
        </w:rPr>
      </w:pPr>
      <w:r>
        <w:rPr>
          <w:rFonts w:ascii="Calibri" w:hAnsi="Calibri"/>
          <w:sz w:val="20"/>
          <w:szCs w:val="20"/>
        </w:rPr>
        <w:t xml:space="preserve">    Členovia komisie sú povinní podpísať vyhlásenie, že nemajú súkromný záujem v súvislosti s prácou a rozhodovaním komisie, resp. uskutočňovaním súbehu (vyhlásenie o nejestvovaní konfliktu záujmov).</w:t>
      </w:r>
    </w:p>
    <w:p w14:paraId="2DAF2AE4" w14:textId="5D4703FC" w:rsidR="006121A4" w:rsidRPr="005F2EC2" w:rsidRDefault="009F6296" w:rsidP="009F6296">
      <w:pPr>
        <w:shd w:val="clear" w:color="auto" w:fill="FFFFFF"/>
        <w:jc w:val="both"/>
        <w:rPr>
          <w:rFonts w:ascii="Calibri" w:hAnsi="Calibri" w:cs="Calibri"/>
          <w:noProof/>
          <w:sz w:val="20"/>
          <w:szCs w:val="20"/>
        </w:rPr>
      </w:pPr>
      <w:r>
        <w:rPr>
          <w:rFonts w:ascii="Calibri" w:hAnsi="Calibri"/>
          <w:sz w:val="20"/>
          <w:szCs w:val="20"/>
        </w:rPr>
        <w:t xml:space="preserve">    Konflikt záujmov nastáva, ak člen komisie alebo členovia jeho rodiny (manžel/manželka alebo nemanželský partner, dieťa alebo rodič) sú zamestnancami alebo členmi orgánu užívateľa, zúčastňujúceho sa súbehu alebo akejkoľvek inej právnickej osoby akýmkoľvek spôsobom prepojenej so žiadateľom prihlášky alebo vo vzťahu k žiadateľom prihlášky má akýkoľvek materiálny alebo nemateriálny záujem, ktorý je v rozpore s verejným záujmom, a to v prípadoch rodinných väzieb, ekonomických záujmov alebo iného spoločného záujmu.</w:t>
      </w:r>
    </w:p>
    <w:p w14:paraId="340D482B" w14:textId="6260B3C8" w:rsidR="006121A4" w:rsidRPr="005F2EC2" w:rsidRDefault="009F6296" w:rsidP="009F6296">
      <w:pPr>
        <w:shd w:val="clear" w:color="auto" w:fill="FFFFFF"/>
        <w:jc w:val="both"/>
        <w:rPr>
          <w:rFonts w:ascii="Calibri" w:hAnsi="Calibri" w:cs="Calibri"/>
          <w:noProof/>
          <w:sz w:val="20"/>
          <w:szCs w:val="20"/>
        </w:rPr>
      </w:pPr>
      <w:r>
        <w:rPr>
          <w:rFonts w:ascii="Calibri" w:hAnsi="Calibri"/>
          <w:sz w:val="20"/>
          <w:szCs w:val="20"/>
        </w:rPr>
        <w:t xml:space="preserve">    Člen komisie podpíše vyhlásenie pred prvým úkonom súvisiacim so súbehom. </w:t>
      </w:r>
    </w:p>
    <w:p w14:paraId="7C965D34" w14:textId="5E171ED7" w:rsidR="006121A4" w:rsidRPr="005F2EC2" w:rsidRDefault="009F6296" w:rsidP="009F6296">
      <w:pPr>
        <w:shd w:val="clear" w:color="auto" w:fill="FFFFFF"/>
        <w:jc w:val="both"/>
        <w:rPr>
          <w:rFonts w:ascii="Calibri" w:hAnsi="Calibri" w:cs="Calibri"/>
          <w:noProof/>
          <w:sz w:val="20"/>
          <w:szCs w:val="20"/>
        </w:rPr>
      </w:pPr>
      <w:r>
        <w:rPr>
          <w:rFonts w:ascii="Calibri" w:hAnsi="Calibri"/>
          <w:sz w:val="20"/>
          <w:szCs w:val="20"/>
        </w:rPr>
        <w:t xml:space="preserve">    Pre prípad zistenia, že je v konflikte záujmov, člen komisie je povinný o tom ihneď upovedomiť iných členov komisie a byť vyňatý z ďalšej práce komisie. Sekretariát rozhoduje o riešení konfliktu záujmov v každom prípade samostatne a pri zistení konfliktu záujmov vymenuje do komisie nového člena ako náhradu.</w:t>
      </w:r>
    </w:p>
    <w:p w14:paraId="06DE4386" w14:textId="174C89DB" w:rsidR="00C45C09" w:rsidRPr="005F2EC2" w:rsidRDefault="00C45C09" w:rsidP="009F6296">
      <w:pPr>
        <w:rPr>
          <w:rFonts w:ascii="Calibri" w:hAnsi="Calibri" w:cs="Calibri"/>
          <w:b/>
          <w:noProof/>
          <w:sz w:val="20"/>
          <w:szCs w:val="20"/>
          <w:lang w:val="sr-Cyrl-RS"/>
        </w:rPr>
      </w:pPr>
    </w:p>
    <w:p w14:paraId="3E8C7912" w14:textId="4CB91B1E" w:rsidR="006121A4" w:rsidRDefault="006121A4" w:rsidP="005F2EC2">
      <w:pPr>
        <w:jc w:val="center"/>
        <w:rPr>
          <w:rFonts w:ascii="Calibri" w:hAnsi="Calibri"/>
          <w:b/>
          <w:sz w:val="20"/>
          <w:szCs w:val="20"/>
        </w:rPr>
      </w:pPr>
      <w:r>
        <w:rPr>
          <w:rFonts w:ascii="Calibri" w:hAnsi="Calibri"/>
          <w:b/>
          <w:sz w:val="20"/>
          <w:szCs w:val="20"/>
        </w:rPr>
        <w:t>Článok 10</w:t>
      </w:r>
    </w:p>
    <w:p w14:paraId="745226FC" w14:textId="77777777" w:rsidR="00D61E68" w:rsidRPr="005F2EC2" w:rsidRDefault="00D61E68" w:rsidP="005F2EC2">
      <w:pPr>
        <w:jc w:val="center"/>
        <w:rPr>
          <w:rFonts w:ascii="Calibri" w:hAnsi="Calibri" w:cs="Calibri"/>
          <w:b/>
          <w:noProof/>
          <w:sz w:val="20"/>
          <w:szCs w:val="20"/>
        </w:rPr>
      </w:pPr>
    </w:p>
    <w:p w14:paraId="697521E6" w14:textId="26D7D704" w:rsidR="00905BC0" w:rsidRPr="005F2EC2" w:rsidRDefault="009F6296" w:rsidP="00905BC0">
      <w:pPr>
        <w:spacing w:line="100" w:lineRule="atLeast"/>
        <w:ind w:left="-284" w:right="-431" w:firstLine="283"/>
        <w:jc w:val="both"/>
        <w:rPr>
          <w:rFonts w:ascii="Calibri" w:hAnsi="Calibri" w:cs="Calibri"/>
          <w:noProof/>
          <w:sz w:val="20"/>
          <w:szCs w:val="20"/>
        </w:rPr>
      </w:pPr>
      <w:r>
        <w:rPr>
          <w:rFonts w:ascii="Calibri" w:hAnsi="Calibri"/>
          <w:sz w:val="20"/>
          <w:szCs w:val="20"/>
        </w:rPr>
        <w:t xml:space="preserve">     Po uplynutí lehoty na predkladanie prihlášok komisia začne posudzovať prihlášky.</w:t>
      </w:r>
    </w:p>
    <w:p w14:paraId="58C81EE3" w14:textId="17DB5AA9" w:rsidR="009F6296" w:rsidRPr="005F2EC2" w:rsidRDefault="009F6296" w:rsidP="009F6296">
      <w:pPr>
        <w:pStyle w:val="CommentText"/>
        <w:rPr>
          <w:rFonts w:ascii="Calibri" w:eastAsia="Calibri" w:hAnsi="Calibri" w:cs="Calibri"/>
        </w:rPr>
      </w:pPr>
      <w:r>
        <w:rPr>
          <w:rFonts w:ascii="Calibri" w:hAnsi="Calibri"/>
        </w:rPr>
        <w:t xml:space="preserve">     Oneskorené, neúplné, žiadosti, ktoré nie sú podpísané alebo overené, ako aj neprípustné žiadosti komisia nebude posudzovať.</w:t>
      </w:r>
    </w:p>
    <w:p w14:paraId="5CFD34E5" w14:textId="062C2F74" w:rsidR="009F6296" w:rsidRPr="005F2EC2" w:rsidRDefault="009F6296" w:rsidP="009F6296">
      <w:pPr>
        <w:widowControl w:val="0"/>
        <w:autoSpaceDE w:val="0"/>
        <w:autoSpaceDN w:val="0"/>
        <w:rPr>
          <w:rFonts w:ascii="Calibri" w:eastAsia="Calibri" w:hAnsi="Calibri" w:cs="Calibri"/>
          <w:sz w:val="20"/>
          <w:szCs w:val="20"/>
        </w:rPr>
      </w:pPr>
      <w:r>
        <w:rPr>
          <w:rFonts w:ascii="Calibri" w:hAnsi="Calibri"/>
          <w:sz w:val="20"/>
          <w:szCs w:val="20"/>
        </w:rPr>
        <w:t xml:space="preserve">     Nasledujúce žiadosti sa považujú za neprípustné:</w:t>
      </w:r>
    </w:p>
    <w:p w14:paraId="11DD7A3C" w14:textId="77777777" w:rsidR="009F6296" w:rsidRPr="005F2EC2" w:rsidRDefault="009F6296" w:rsidP="00905BC0">
      <w:pPr>
        <w:spacing w:line="100" w:lineRule="atLeast"/>
        <w:ind w:left="-284" w:right="-431" w:firstLine="283"/>
        <w:jc w:val="both"/>
        <w:rPr>
          <w:rFonts w:ascii="Calibri" w:hAnsi="Calibri" w:cs="Calibri"/>
          <w:noProof/>
          <w:sz w:val="20"/>
          <w:szCs w:val="20"/>
          <w:lang w:val="sr-Cyrl-RS"/>
        </w:rPr>
      </w:pPr>
    </w:p>
    <w:p w14:paraId="72960BB2" w14:textId="77777777" w:rsidR="00905BC0" w:rsidRPr="005F2EC2" w:rsidRDefault="00905BC0" w:rsidP="00905BC0">
      <w:pPr>
        <w:pStyle w:val="ListParagraph"/>
        <w:numPr>
          <w:ilvl w:val="0"/>
          <w:numId w:val="12"/>
        </w:numPr>
        <w:spacing w:after="0"/>
        <w:jc w:val="both"/>
        <w:rPr>
          <w:rFonts w:eastAsia="Times New Roman" w:cs="Calibri"/>
          <w:noProof/>
          <w:sz w:val="20"/>
          <w:szCs w:val="20"/>
        </w:rPr>
      </w:pPr>
      <w:r>
        <w:rPr>
          <w:sz w:val="20"/>
          <w:szCs w:val="20"/>
        </w:rPr>
        <w:t>prihlášky predložené neoprávnenými osobami a subjektmi, ktoré neboli plánované v súbehu;</w:t>
      </w:r>
    </w:p>
    <w:p w14:paraId="014BAAD2" w14:textId="6BEC9015" w:rsidR="00905BC0" w:rsidRPr="005F2EC2" w:rsidRDefault="00905BC0" w:rsidP="00905BC0">
      <w:pPr>
        <w:pStyle w:val="ListParagraph"/>
        <w:numPr>
          <w:ilvl w:val="0"/>
          <w:numId w:val="12"/>
        </w:numPr>
        <w:spacing w:after="0"/>
        <w:jc w:val="both"/>
        <w:rPr>
          <w:rFonts w:eastAsia="Times New Roman" w:cs="Calibri"/>
          <w:noProof/>
          <w:sz w:val="20"/>
          <w:szCs w:val="20"/>
        </w:rPr>
      </w:pPr>
      <w:r>
        <w:rPr>
          <w:sz w:val="20"/>
          <w:szCs w:val="20"/>
        </w:rPr>
        <w:t>prihlášky, ktoré nesúvisia so súbehom plánovaným účelom z článku 2 týchto pravidiel;</w:t>
      </w:r>
    </w:p>
    <w:p w14:paraId="4EE4F735" w14:textId="77777777" w:rsidR="00905BC0" w:rsidRPr="005F2EC2" w:rsidRDefault="00905BC0" w:rsidP="00905BC0">
      <w:pPr>
        <w:pStyle w:val="ListParagraph"/>
        <w:numPr>
          <w:ilvl w:val="0"/>
          <w:numId w:val="12"/>
        </w:numPr>
        <w:spacing w:after="0"/>
        <w:jc w:val="both"/>
        <w:rPr>
          <w:rFonts w:eastAsia="Times New Roman" w:cs="Calibri"/>
          <w:noProof/>
          <w:sz w:val="20"/>
          <w:szCs w:val="20"/>
        </w:rPr>
      </w:pPr>
      <w:r>
        <w:rPr>
          <w:sz w:val="20"/>
          <w:szCs w:val="20"/>
        </w:rPr>
        <w:t xml:space="preserve">prihlášky súvisiace s obstaraním zariadenia, investície alebo stále náklady a bežné činnosti podávateľa prihlášky; </w:t>
      </w:r>
    </w:p>
    <w:p w14:paraId="40EC7995" w14:textId="77777777" w:rsidR="00905BC0" w:rsidRPr="005F2EC2" w:rsidRDefault="00905BC0" w:rsidP="00905BC0">
      <w:pPr>
        <w:pStyle w:val="ListParagraph"/>
        <w:numPr>
          <w:ilvl w:val="0"/>
          <w:numId w:val="12"/>
        </w:numPr>
        <w:spacing w:after="0"/>
        <w:jc w:val="both"/>
        <w:rPr>
          <w:rFonts w:eastAsia="Times New Roman" w:cs="Calibri"/>
          <w:noProof/>
          <w:sz w:val="20"/>
          <w:szCs w:val="20"/>
        </w:rPr>
      </w:pPr>
      <w:r>
        <w:rPr>
          <w:sz w:val="20"/>
          <w:szCs w:val="20"/>
        </w:rPr>
        <w:t>prihlášky podávateľov prihlášok, ktorí nepredložili správu o vynaložení a použití pridelených finančných prostriedkov za predchádzajúci rok, t. j. u ktorých bolo zo správy zistené, že tieto prostriedky vynaložili nevhodne, ako aj prihlášky podávateľov, ktorí nesplnili svoje povinnosti z predchádzajúcich súbehov sekretariátu v zmysle predkladania fotografií alebo video materiálov ako dôkazov o realizovaných aktivitách;</w:t>
      </w:r>
    </w:p>
    <w:p w14:paraId="4B011974" w14:textId="77777777" w:rsidR="00905BC0" w:rsidRPr="005F2EC2" w:rsidRDefault="00905BC0" w:rsidP="00905BC0">
      <w:pPr>
        <w:pStyle w:val="ListParagraph"/>
        <w:numPr>
          <w:ilvl w:val="0"/>
          <w:numId w:val="12"/>
        </w:numPr>
        <w:spacing w:after="0"/>
        <w:jc w:val="both"/>
        <w:rPr>
          <w:rFonts w:eastAsia="Times New Roman" w:cs="Calibri"/>
          <w:noProof/>
          <w:sz w:val="20"/>
          <w:szCs w:val="20"/>
        </w:rPr>
      </w:pPr>
      <w:r>
        <w:rPr>
          <w:sz w:val="20"/>
          <w:szCs w:val="20"/>
        </w:rPr>
        <w:t xml:space="preserve">prihlášky žiadateľov, ktorí nepredložili opisnú/finančnú správu o implementácii programov/projektov z predchádzajúceho roka v stanovených termínoch; </w:t>
      </w:r>
    </w:p>
    <w:p w14:paraId="4AA3917A" w14:textId="77777777" w:rsidR="00905BC0" w:rsidRPr="005F2EC2" w:rsidRDefault="00905BC0" w:rsidP="00905BC0">
      <w:pPr>
        <w:pStyle w:val="ListParagraph"/>
        <w:numPr>
          <w:ilvl w:val="0"/>
          <w:numId w:val="12"/>
        </w:numPr>
        <w:spacing w:after="0" w:line="240" w:lineRule="auto"/>
        <w:jc w:val="both"/>
        <w:rPr>
          <w:rFonts w:eastAsia="Times New Roman" w:cs="Calibri"/>
          <w:noProof/>
          <w:sz w:val="20"/>
          <w:szCs w:val="20"/>
        </w:rPr>
      </w:pPr>
      <w:r>
        <w:rPr>
          <w:sz w:val="20"/>
          <w:szCs w:val="20"/>
        </w:rPr>
        <w:lastRenderedPageBreak/>
        <w:t>prihlášky týkajúce sa obstarávania vybavenia alebo údržby vybavenia, ktoré súvisí s realizáciou projektu, ako aj iné kapitálne náklady.</w:t>
      </w:r>
    </w:p>
    <w:p w14:paraId="3FFCE0BE" w14:textId="77777777" w:rsidR="00905BC0" w:rsidRPr="005F2EC2" w:rsidRDefault="00905BC0" w:rsidP="00905BC0">
      <w:pPr>
        <w:jc w:val="both"/>
        <w:rPr>
          <w:rFonts w:ascii="Calibri" w:hAnsi="Calibri" w:cs="Calibri"/>
          <w:b/>
          <w:sz w:val="20"/>
          <w:szCs w:val="20"/>
          <w:lang w:val="sr-Cyrl-CS"/>
        </w:rPr>
      </w:pPr>
    </w:p>
    <w:p w14:paraId="59EF265C" w14:textId="49DD99F9" w:rsidR="00D61E68" w:rsidRPr="00CA2A87" w:rsidRDefault="006121A4" w:rsidP="00CA2A87">
      <w:pPr>
        <w:ind w:right="180"/>
        <w:jc w:val="center"/>
        <w:rPr>
          <w:rFonts w:ascii="Calibri" w:hAnsi="Calibri" w:cs="Calibri"/>
          <w:b/>
          <w:noProof/>
          <w:sz w:val="20"/>
          <w:szCs w:val="20"/>
        </w:rPr>
      </w:pPr>
      <w:r>
        <w:rPr>
          <w:rFonts w:ascii="Calibri" w:hAnsi="Calibri"/>
          <w:b/>
          <w:sz w:val="20"/>
          <w:szCs w:val="20"/>
        </w:rPr>
        <w:t>Kritériá pridelenia prostriedkov podľa súbehu</w:t>
      </w:r>
    </w:p>
    <w:p w14:paraId="7BFF1A71" w14:textId="469F8844" w:rsidR="00A60843" w:rsidRDefault="006121A4" w:rsidP="005F2EC2">
      <w:pPr>
        <w:jc w:val="center"/>
        <w:rPr>
          <w:rFonts w:ascii="Calibri" w:hAnsi="Calibri"/>
          <w:b/>
          <w:sz w:val="20"/>
          <w:szCs w:val="20"/>
        </w:rPr>
      </w:pPr>
      <w:r>
        <w:rPr>
          <w:rFonts w:ascii="Calibri" w:hAnsi="Calibri"/>
          <w:b/>
          <w:sz w:val="20"/>
          <w:szCs w:val="20"/>
        </w:rPr>
        <w:t>Článok 11</w:t>
      </w:r>
    </w:p>
    <w:p w14:paraId="713B614E" w14:textId="77777777" w:rsidR="00D61E68" w:rsidRPr="005F2EC2" w:rsidRDefault="00D61E68" w:rsidP="005F2EC2">
      <w:pPr>
        <w:jc w:val="center"/>
        <w:rPr>
          <w:rFonts w:ascii="Calibri" w:hAnsi="Calibri" w:cs="Calibri"/>
          <w:b/>
          <w:noProof/>
          <w:sz w:val="20"/>
          <w:szCs w:val="20"/>
        </w:rPr>
      </w:pPr>
    </w:p>
    <w:p w14:paraId="01576498" w14:textId="5C344FCF" w:rsidR="006121A4" w:rsidRPr="005F2EC2" w:rsidRDefault="006121A4" w:rsidP="00C33CEB">
      <w:pPr>
        <w:pStyle w:val="xmsonormal"/>
        <w:spacing w:before="0" w:beforeAutospacing="0"/>
        <w:ind w:firstLine="375"/>
        <w:jc w:val="both"/>
        <w:rPr>
          <w:rFonts w:ascii="Calibri" w:eastAsia="Times New Roman" w:hAnsi="Calibri" w:cs="Calibri"/>
          <w:noProof/>
          <w:sz w:val="20"/>
          <w:szCs w:val="20"/>
        </w:rPr>
      </w:pPr>
      <w:r>
        <w:rPr>
          <w:rFonts w:ascii="Calibri" w:hAnsi="Calibri"/>
          <w:sz w:val="20"/>
          <w:szCs w:val="20"/>
        </w:rPr>
        <w:t>Pri určovaní výšky finančných prostriedkov, ktoré sa majú prideliť, uplatňujú sa tieto kritériá pre účely uvedené v článku 2 ods. 1 bod 1 týchto pravidiel:</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D925D4" w:rsidRPr="005F2EC2" w14:paraId="5142EB82"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07D6B93F" w14:textId="77777777" w:rsidR="00D925D4" w:rsidRPr="004B0211" w:rsidRDefault="00D925D4" w:rsidP="00D925D4">
            <w:pPr>
              <w:adjustRightInd w:val="0"/>
              <w:jc w:val="center"/>
              <w:rPr>
                <w:rFonts w:ascii="Calibri" w:hAnsi="Calibri" w:cs="Calibri"/>
                <w:sz w:val="16"/>
                <w:szCs w:val="16"/>
              </w:rPr>
            </w:pPr>
            <w:r w:rsidRPr="004B0211">
              <w:rPr>
                <w:rFonts w:ascii="Calibri" w:hAnsi="Calibri"/>
                <w:sz w:val="16"/>
                <w:szCs w:val="16"/>
              </w:rPr>
              <w:t>Poradové</w:t>
            </w:r>
          </w:p>
          <w:p w14:paraId="538D498D" w14:textId="09E0AF90" w:rsidR="00D925D4" w:rsidRPr="005F2EC2" w:rsidRDefault="004B0211" w:rsidP="00D925D4">
            <w:pPr>
              <w:adjustRightInd w:val="0"/>
              <w:jc w:val="center"/>
              <w:rPr>
                <w:rFonts w:ascii="Calibri" w:hAnsi="Calibri" w:cs="Calibri"/>
                <w:sz w:val="20"/>
                <w:szCs w:val="20"/>
              </w:rPr>
            </w:pPr>
            <w:r w:rsidRPr="004B0211">
              <w:rPr>
                <w:rFonts w:ascii="Calibri" w:hAnsi="Calibri"/>
                <w:sz w:val="16"/>
                <w:szCs w:val="16"/>
              </w:rPr>
              <w:t>Č</w:t>
            </w:r>
            <w:r w:rsidR="00D925D4" w:rsidRPr="004B0211">
              <w:rPr>
                <w:rFonts w:ascii="Calibri" w:hAnsi="Calibri"/>
                <w:sz w:val="16"/>
                <w:szCs w:val="16"/>
              </w:rPr>
              <w:t>íslo</w:t>
            </w:r>
          </w:p>
        </w:tc>
        <w:tc>
          <w:tcPr>
            <w:tcW w:w="6211" w:type="dxa"/>
            <w:tcBorders>
              <w:top w:val="single" w:sz="4" w:space="0" w:color="auto"/>
              <w:left w:val="single" w:sz="4" w:space="0" w:color="auto"/>
              <w:bottom w:val="single" w:sz="4" w:space="0" w:color="auto"/>
              <w:right w:val="single" w:sz="4" w:space="0" w:color="auto"/>
            </w:tcBorders>
            <w:hideMark/>
          </w:tcPr>
          <w:p w14:paraId="6E4B91BE" w14:textId="77777777" w:rsidR="00D925D4" w:rsidRPr="005F2EC2" w:rsidRDefault="00D925D4" w:rsidP="00D925D4">
            <w:pPr>
              <w:adjustRightInd w:val="0"/>
              <w:jc w:val="center"/>
              <w:rPr>
                <w:rFonts w:ascii="Calibri" w:hAnsi="Calibri" w:cs="Calibri"/>
                <w:sz w:val="20"/>
                <w:szCs w:val="20"/>
              </w:rPr>
            </w:pPr>
            <w:r>
              <w:rPr>
                <w:rFonts w:ascii="Calibri" w:hAnsi="Calibri"/>
                <w:sz w:val="20"/>
                <w:szCs w:val="20"/>
              </w:rPr>
              <w:t>Kritériá</w:t>
            </w:r>
          </w:p>
        </w:tc>
        <w:tc>
          <w:tcPr>
            <w:tcW w:w="1016" w:type="dxa"/>
            <w:tcBorders>
              <w:top w:val="single" w:sz="4" w:space="0" w:color="auto"/>
              <w:left w:val="single" w:sz="4" w:space="0" w:color="auto"/>
              <w:bottom w:val="single" w:sz="4" w:space="0" w:color="auto"/>
              <w:right w:val="single" w:sz="4" w:space="0" w:color="auto"/>
            </w:tcBorders>
          </w:tcPr>
          <w:p w14:paraId="642318F6" w14:textId="77777777" w:rsidR="00D925D4" w:rsidRPr="005F2EC2" w:rsidRDefault="00D925D4" w:rsidP="00D925D4">
            <w:pPr>
              <w:adjustRightInd w:val="0"/>
              <w:jc w:val="center"/>
              <w:rPr>
                <w:rFonts w:ascii="Calibri" w:hAnsi="Calibri" w:cs="Calibri"/>
                <w:sz w:val="20"/>
                <w:szCs w:val="20"/>
              </w:rPr>
            </w:pPr>
            <w:r>
              <w:rPr>
                <w:rFonts w:ascii="Calibri" w:hAnsi="Calibri"/>
                <w:sz w:val="20"/>
                <w:szCs w:val="20"/>
              </w:rPr>
              <w:t>Body</w:t>
            </w:r>
          </w:p>
          <w:p w14:paraId="318187C9" w14:textId="77777777" w:rsidR="00D925D4" w:rsidRPr="005F2EC2" w:rsidRDefault="00D925D4" w:rsidP="00D925D4">
            <w:pPr>
              <w:adjustRightInd w:val="0"/>
              <w:jc w:val="center"/>
              <w:rPr>
                <w:rFonts w:ascii="Calibri" w:hAnsi="Calibri" w:cs="Calibri"/>
                <w:sz w:val="20"/>
                <w:szCs w:val="20"/>
                <w:lang w:val="sr-Latn-RS"/>
              </w:rPr>
            </w:pPr>
          </w:p>
        </w:tc>
      </w:tr>
      <w:tr w:rsidR="00D925D4" w:rsidRPr="005F2EC2" w14:paraId="0DE68E63"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0F51AAA1" w14:textId="77777777" w:rsidR="00D925D4" w:rsidRPr="005F2EC2" w:rsidRDefault="00D925D4" w:rsidP="00D925D4">
            <w:pPr>
              <w:adjustRightInd w:val="0"/>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4B0B9224" w14:textId="2E69170E" w:rsidR="00D925D4" w:rsidRPr="005F2EC2" w:rsidRDefault="00D925D4" w:rsidP="00D925D4">
            <w:pPr>
              <w:ind w:left="-15"/>
              <w:rPr>
                <w:rFonts w:ascii="Calibri" w:hAnsi="Calibri" w:cs="Calibri"/>
                <w:sz w:val="20"/>
                <w:szCs w:val="20"/>
              </w:rPr>
            </w:pPr>
            <w:r>
              <w:rPr>
                <w:rFonts w:ascii="Calibri" w:hAnsi="Calibri"/>
                <w:sz w:val="20"/>
                <w:szCs w:val="20"/>
              </w:rPr>
              <w:t>Počet dvojjazyčných tried;</w:t>
            </w:r>
          </w:p>
        </w:tc>
        <w:tc>
          <w:tcPr>
            <w:tcW w:w="1016" w:type="dxa"/>
            <w:tcBorders>
              <w:top w:val="single" w:sz="4" w:space="0" w:color="auto"/>
              <w:left w:val="single" w:sz="4" w:space="0" w:color="auto"/>
              <w:bottom w:val="single" w:sz="4" w:space="0" w:color="auto"/>
              <w:right w:val="single" w:sz="4" w:space="0" w:color="auto"/>
            </w:tcBorders>
            <w:hideMark/>
          </w:tcPr>
          <w:p w14:paraId="15F25D00" w14:textId="77777777" w:rsidR="00D925D4" w:rsidRPr="005F2EC2" w:rsidRDefault="00D925D4" w:rsidP="00D925D4">
            <w:pPr>
              <w:adjustRightInd w:val="0"/>
              <w:jc w:val="center"/>
              <w:rPr>
                <w:rFonts w:ascii="Calibri" w:hAnsi="Calibri" w:cs="Calibri"/>
                <w:sz w:val="20"/>
                <w:szCs w:val="20"/>
              </w:rPr>
            </w:pPr>
            <w:r>
              <w:rPr>
                <w:rFonts w:ascii="Calibri" w:hAnsi="Calibri"/>
                <w:sz w:val="20"/>
                <w:szCs w:val="20"/>
              </w:rPr>
              <w:t>0 – 30</w:t>
            </w:r>
          </w:p>
        </w:tc>
      </w:tr>
      <w:tr w:rsidR="00D925D4" w:rsidRPr="005F2EC2" w14:paraId="21FE157E"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60F12715" w14:textId="77777777" w:rsidR="00D925D4" w:rsidRPr="005F2EC2" w:rsidRDefault="00D925D4" w:rsidP="00D925D4">
            <w:pPr>
              <w:adjustRightInd w:val="0"/>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1E753689" w14:textId="3CEB1FE5" w:rsidR="00D925D4" w:rsidRPr="005F2EC2" w:rsidRDefault="00D925D4" w:rsidP="00D925D4">
            <w:pPr>
              <w:adjustRightInd w:val="0"/>
              <w:rPr>
                <w:rFonts w:ascii="Calibri" w:hAnsi="Calibri" w:cs="Calibri"/>
                <w:sz w:val="20"/>
                <w:szCs w:val="20"/>
              </w:rPr>
            </w:pPr>
            <w:r>
              <w:rPr>
                <w:rFonts w:ascii="Calibri" w:hAnsi="Calibri"/>
                <w:sz w:val="20"/>
                <w:szCs w:val="20"/>
              </w:rPr>
              <w:t xml:space="preserve">Počet vyučovacích predmetov, čo sa prednášajú dvojjazyčne </w:t>
            </w:r>
          </w:p>
        </w:tc>
        <w:tc>
          <w:tcPr>
            <w:tcW w:w="1016" w:type="dxa"/>
            <w:tcBorders>
              <w:top w:val="single" w:sz="4" w:space="0" w:color="auto"/>
              <w:left w:val="single" w:sz="4" w:space="0" w:color="auto"/>
              <w:bottom w:val="single" w:sz="4" w:space="0" w:color="auto"/>
              <w:right w:val="single" w:sz="4" w:space="0" w:color="auto"/>
            </w:tcBorders>
            <w:hideMark/>
          </w:tcPr>
          <w:p w14:paraId="11B9DA73" w14:textId="77777777" w:rsidR="00D925D4" w:rsidRPr="005F2EC2" w:rsidRDefault="00D925D4" w:rsidP="00D925D4">
            <w:pPr>
              <w:adjustRightInd w:val="0"/>
              <w:jc w:val="center"/>
              <w:rPr>
                <w:rFonts w:ascii="Calibri" w:hAnsi="Calibri" w:cs="Calibri"/>
                <w:sz w:val="20"/>
                <w:szCs w:val="20"/>
              </w:rPr>
            </w:pPr>
            <w:r>
              <w:rPr>
                <w:rFonts w:ascii="Calibri" w:hAnsi="Calibri"/>
                <w:sz w:val="20"/>
                <w:szCs w:val="20"/>
              </w:rPr>
              <w:t>0 – 10</w:t>
            </w:r>
          </w:p>
        </w:tc>
      </w:tr>
    </w:tbl>
    <w:p w14:paraId="0DBB6CC0" w14:textId="4D46E181" w:rsidR="006121A4" w:rsidRPr="005F2EC2" w:rsidRDefault="006121A4" w:rsidP="006121A4">
      <w:pPr>
        <w:pStyle w:val="xmsonormal"/>
        <w:ind w:right="180" w:firstLine="426"/>
        <w:jc w:val="both"/>
        <w:rPr>
          <w:rFonts w:ascii="Calibri" w:eastAsia="Times New Roman" w:hAnsi="Calibri" w:cs="Calibri"/>
          <w:noProof/>
          <w:sz w:val="20"/>
          <w:szCs w:val="20"/>
        </w:rPr>
      </w:pPr>
      <w:r>
        <w:rPr>
          <w:rFonts w:ascii="Calibri" w:hAnsi="Calibri"/>
          <w:sz w:val="20"/>
          <w:szCs w:val="20"/>
        </w:rPr>
        <w:t> Pri určovaní výšky finančných prostriedkov, ktoré sa majú prideliť, sa na účely uvedené v článku 2 ods. 1 bod 2 týchto pravidiel uplatňujú tieto kritériá:</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D925D4" w:rsidRPr="005F2EC2" w14:paraId="02635A1E"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0CC2A484" w14:textId="77777777" w:rsidR="00D925D4" w:rsidRPr="004B0211" w:rsidRDefault="00D925D4">
            <w:pPr>
              <w:adjustRightInd w:val="0"/>
              <w:spacing w:line="256" w:lineRule="auto"/>
              <w:jc w:val="center"/>
              <w:rPr>
                <w:rFonts w:ascii="Calibri" w:hAnsi="Calibri" w:cs="Calibri"/>
                <w:sz w:val="16"/>
                <w:szCs w:val="16"/>
              </w:rPr>
            </w:pPr>
            <w:r w:rsidRPr="004B0211">
              <w:rPr>
                <w:rFonts w:ascii="Calibri" w:hAnsi="Calibri"/>
                <w:sz w:val="16"/>
                <w:szCs w:val="16"/>
              </w:rPr>
              <w:t>Poradové</w:t>
            </w:r>
          </w:p>
          <w:p w14:paraId="222E0C82" w14:textId="7E293F93" w:rsidR="00D925D4" w:rsidRPr="005F2EC2" w:rsidRDefault="004B0211">
            <w:pPr>
              <w:adjustRightInd w:val="0"/>
              <w:spacing w:line="256" w:lineRule="auto"/>
              <w:jc w:val="center"/>
              <w:rPr>
                <w:rFonts w:ascii="Calibri" w:hAnsi="Calibri" w:cs="Calibri"/>
                <w:sz w:val="20"/>
                <w:szCs w:val="20"/>
              </w:rPr>
            </w:pPr>
            <w:r w:rsidRPr="004B0211">
              <w:rPr>
                <w:rFonts w:ascii="Calibri" w:hAnsi="Calibri"/>
                <w:sz w:val="16"/>
                <w:szCs w:val="16"/>
              </w:rPr>
              <w:t>č</w:t>
            </w:r>
            <w:r w:rsidR="00D925D4" w:rsidRPr="004B0211">
              <w:rPr>
                <w:rFonts w:ascii="Calibri" w:hAnsi="Calibri"/>
                <w:sz w:val="16"/>
                <w:szCs w:val="16"/>
              </w:rPr>
              <w:t>íslo</w:t>
            </w:r>
          </w:p>
        </w:tc>
        <w:tc>
          <w:tcPr>
            <w:tcW w:w="6211" w:type="dxa"/>
            <w:tcBorders>
              <w:top w:val="single" w:sz="4" w:space="0" w:color="auto"/>
              <w:left w:val="single" w:sz="4" w:space="0" w:color="auto"/>
              <w:bottom w:val="single" w:sz="4" w:space="0" w:color="auto"/>
              <w:right w:val="single" w:sz="4" w:space="0" w:color="auto"/>
            </w:tcBorders>
            <w:hideMark/>
          </w:tcPr>
          <w:p w14:paraId="5BA2A5AD" w14:textId="77777777" w:rsidR="00D925D4" w:rsidRPr="005F2EC2" w:rsidRDefault="00D925D4">
            <w:pPr>
              <w:adjustRightInd w:val="0"/>
              <w:spacing w:line="256" w:lineRule="auto"/>
              <w:jc w:val="center"/>
              <w:rPr>
                <w:rFonts w:ascii="Calibri" w:hAnsi="Calibri" w:cs="Calibri"/>
                <w:sz w:val="20"/>
                <w:szCs w:val="20"/>
              </w:rPr>
            </w:pPr>
            <w:r>
              <w:rPr>
                <w:rFonts w:ascii="Calibri" w:hAnsi="Calibri"/>
                <w:sz w:val="20"/>
                <w:szCs w:val="20"/>
              </w:rPr>
              <w:t>Kritériá</w:t>
            </w:r>
          </w:p>
        </w:tc>
        <w:tc>
          <w:tcPr>
            <w:tcW w:w="1016" w:type="dxa"/>
            <w:tcBorders>
              <w:top w:val="single" w:sz="4" w:space="0" w:color="auto"/>
              <w:left w:val="single" w:sz="4" w:space="0" w:color="auto"/>
              <w:bottom w:val="single" w:sz="4" w:space="0" w:color="auto"/>
              <w:right w:val="single" w:sz="4" w:space="0" w:color="auto"/>
            </w:tcBorders>
          </w:tcPr>
          <w:p w14:paraId="09BABE82" w14:textId="77777777" w:rsidR="00D925D4" w:rsidRPr="005F2EC2" w:rsidRDefault="00D925D4">
            <w:pPr>
              <w:adjustRightInd w:val="0"/>
              <w:spacing w:line="256" w:lineRule="auto"/>
              <w:jc w:val="center"/>
              <w:rPr>
                <w:rFonts w:ascii="Calibri" w:hAnsi="Calibri" w:cs="Calibri"/>
                <w:sz w:val="20"/>
                <w:szCs w:val="20"/>
              </w:rPr>
            </w:pPr>
            <w:r>
              <w:rPr>
                <w:rFonts w:ascii="Calibri" w:hAnsi="Calibri"/>
                <w:sz w:val="20"/>
                <w:szCs w:val="20"/>
              </w:rPr>
              <w:t>Body</w:t>
            </w:r>
          </w:p>
          <w:p w14:paraId="5C2B40D7" w14:textId="77777777" w:rsidR="00D925D4" w:rsidRPr="005F2EC2" w:rsidRDefault="00D925D4">
            <w:pPr>
              <w:adjustRightInd w:val="0"/>
              <w:spacing w:line="256" w:lineRule="auto"/>
              <w:jc w:val="center"/>
              <w:rPr>
                <w:rFonts w:ascii="Calibri" w:hAnsi="Calibri" w:cs="Calibri"/>
                <w:sz w:val="20"/>
                <w:szCs w:val="20"/>
                <w:lang w:val="sr-Latn-RS"/>
              </w:rPr>
            </w:pPr>
          </w:p>
        </w:tc>
      </w:tr>
      <w:tr w:rsidR="00D925D4" w:rsidRPr="005F2EC2" w14:paraId="4690BEC9"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3884D47D" w14:textId="77777777" w:rsidR="00D925D4" w:rsidRPr="005F2EC2" w:rsidRDefault="00D925D4" w:rsidP="00D925D4">
            <w:pPr>
              <w:adjustRightInd w:val="0"/>
              <w:spacing w:line="256" w:lineRule="auto"/>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5AD8A3F7" w14:textId="3F216B3D" w:rsidR="00D925D4" w:rsidRPr="005F2EC2" w:rsidRDefault="00D925D4" w:rsidP="00D925D4">
            <w:pPr>
              <w:spacing w:line="256" w:lineRule="auto"/>
              <w:ind w:left="-15"/>
              <w:rPr>
                <w:rFonts w:ascii="Calibri" w:hAnsi="Calibri" w:cs="Calibri"/>
                <w:sz w:val="20"/>
                <w:szCs w:val="20"/>
              </w:rPr>
            </w:pPr>
            <w:r>
              <w:rPr>
                <w:rFonts w:ascii="Calibri" w:hAnsi="Calibri"/>
                <w:sz w:val="20"/>
                <w:szCs w:val="20"/>
              </w:rPr>
              <w:t>Počet učiteľov, ktorí sa zúčastňujú dvojjazyčnej výučby;</w:t>
            </w:r>
          </w:p>
        </w:tc>
        <w:tc>
          <w:tcPr>
            <w:tcW w:w="1016" w:type="dxa"/>
            <w:tcBorders>
              <w:top w:val="single" w:sz="4" w:space="0" w:color="auto"/>
              <w:left w:val="single" w:sz="4" w:space="0" w:color="auto"/>
              <w:bottom w:val="single" w:sz="4" w:space="0" w:color="auto"/>
              <w:right w:val="single" w:sz="4" w:space="0" w:color="auto"/>
            </w:tcBorders>
            <w:hideMark/>
          </w:tcPr>
          <w:p w14:paraId="4417226E" w14:textId="77777777" w:rsidR="00D925D4" w:rsidRPr="005F2EC2" w:rsidRDefault="00D925D4" w:rsidP="00D925D4">
            <w:pPr>
              <w:adjustRightInd w:val="0"/>
              <w:spacing w:line="256" w:lineRule="auto"/>
              <w:jc w:val="center"/>
              <w:rPr>
                <w:rFonts w:ascii="Calibri" w:hAnsi="Calibri" w:cs="Calibri"/>
                <w:sz w:val="20"/>
                <w:szCs w:val="20"/>
              </w:rPr>
            </w:pPr>
            <w:r>
              <w:rPr>
                <w:rFonts w:ascii="Calibri" w:hAnsi="Calibri"/>
                <w:sz w:val="20"/>
                <w:szCs w:val="20"/>
              </w:rPr>
              <w:t>0 – 30</w:t>
            </w:r>
          </w:p>
        </w:tc>
      </w:tr>
      <w:tr w:rsidR="00D925D4" w:rsidRPr="005F2EC2" w14:paraId="38F791DC"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39F40348" w14:textId="77777777" w:rsidR="00D925D4" w:rsidRPr="005F2EC2" w:rsidRDefault="00D925D4" w:rsidP="00D925D4">
            <w:pPr>
              <w:adjustRightInd w:val="0"/>
              <w:spacing w:line="256" w:lineRule="auto"/>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612EA7F6" w14:textId="453F9A19" w:rsidR="00D925D4" w:rsidRPr="005F2EC2" w:rsidRDefault="00D925D4" w:rsidP="00D925D4">
            <w:pPr>
              <w:adjustRightInd w:val="0"/>
              <w:spacing w:line="256" w:lineRule="auto"/>
              <w:rPr>
                <w:rFonts w:ascii="Calibri" w:hAnsi="Calibri" w:cs="Calibri"/>
                <w:sz w:val="20"/>
                <w:szCs w:val="20"/>
              </w:rPr>
            </w:pPr>
            <w:r>
              <w:rPr>
                <w:rFonts w:ascii="Calibri" w:hAnsi="Calibri"/>
                <w:sz w:val="20"/>
                <w:szCs w:val="20"/>
              </w:rPr>
              <w:t>Počet žiakov v dvojjazyčnej výučbe;</w:t>
            </w:r>
          </w:p>
        </w:tc>
        <w:tc>
          <w:tcPr>
            <w:tcW w:w="1016" w:type="dxa"/>
            <w:tcBorders>
              <w:top w:val="single" w:sz="4" w:space="0" w:color="auto"/>
              <w:left w:val="single" w:sz="4" w:space="0" w:color="auto"/>
              <w:bottom w:val="single" w:sz="4" w:space="0" w:color="auto"/>
              <w:right w:val="single" w:sz="4" w:space="0" w:color="auto"/>
            </w:tcBorders>
            <w:hideMark/>
          </w:tcPr>
          <w:p w14:paraId="55EE7B28" w14:textId="77777777" w:rsidR="00D925D4" w:rsidRPr="005F2EC2" w:rsidRDefault="00D925D4" w:rsidP="00D925D4">
            <w:pPr>
              <w:adjustRightInd w:val="0"/>
              <w:spacing w:line="256" w:lineRule="auto"/>
              <w:jc w:val="center"/>
              <w:rPr>
                <w:rFonts w:ascii="Calibri" w:hAnsi="Calibri" w:cs="Calibri"/>
                <w:sz w:val="20"/>
                <w:szCs w:val="20"/>
              </w:rPr>
            </w:pPr>
            <w:r>
              <w:rPr>
                <w:rFonts w:ascii="Calibri" w:hAnsi="Calibri"/>
                <w:sz w:val="20"/>
                <w:szCs w:val="20"/>
              </w:rPr>
              <w:t>0 – 10</w:t>
            </w:r>
          </w:p>
        </w:tc>
      </w:tr>
      <w:tr w:rsidR="00D925D4" w:rsidRPr="005F2EC2" w14:paraId="5D36D3EA" w14:textId="77777777" w:rsidTr="00D925D4">
        <w:trPr>
          <w:jc w:val="center"/>
        </w:trPr>
        <w:tc>
          <w:tcPr>
            <w:tcW w:w="985" w:type="dxa"/>
            <w:tcBorders>
              <w:top w:val="single" w:sz="4" w:space="0" w:color="auto"/>
              <w:left w:val="single" w:sz="4" w:space="0" w:color="auto"/>
              <w:bottom w:val="single" w:sz="4" w:space="0" w:color="auto"/>
              <w:right w:val="single" w:sz="4" w:space="0" w:color="auto"/>
            </w:tcBorders>
            <w:hideMark/>
          </w:tcPr>
          <w:p w14:paraId="0CA38715" w14:textId="77777777" w:rsidR="00D925D4" w:rsidRPr="005F2EC2" w:rsidRDefault="00D925D4" w:rsidP="00D925D4">
            <w:pPr>
              <w:adjustRightInd w:val="0"/>
              <w:spacing w:line="256" w:lineRule="auto"/>
              <w:jc w:val="center"/>
              <w:rPr>
                <w:rFonts w:ascii="Calibri" w:hAnsi="Calibri" w:cs="Calibri"/>
                <w:sz w:val="20"/>
                <w:szCs w:val="20"/>
              </w:rPr>
            </w:pPr>
            <w:r>
              <w:rPr>
                <w:rFonts w:ascii="Calibri" w:hAnsi="Calibr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7881E227" w14:textId="2E42BD3F" w:rsidR="00D925D4" w:rsidRPr="005F2EC2" w:rsidRDefault="00D925D4" w:rsidP="009F6296">
            <w:pPr>
              <w:adjustRightInd w:val="0"/>
              <w:spacing w:line="256" w:lineRule="auto"/>
              <w:rPr>
                <w:rFonts w:ascii="Calibri" w:hAnsi="Calibri" w:cs="Calibri"/>
                <w:sz w:val="20"/>
                <w:szCs w:val="20"/>
              </w:rPr>
            </w:pPr>
            <w:r>
              <w:rPr>
                <w:rFonts w:ascii="Calibri" w:hAnsi="Calibri"/>
                <w:sz w:val="20"/>
                <w:szCs w:val="20"/>
              </w:rPr>
              <w:t xml:space="preserve">Odôvodnenie z hľadiska ďalšieho rozvoja dvojjazyčného vyučovania (licencia Cambridge Center </w:t>
            </w:r>
            <w:r w:rsidR="004B0211">
              <w:rPr>
                <w:rFonts w:ascii="Calibri" w:hAnsi="Calibri"/>
                <w:sz w:val="20"/>
                <w:szCs w:val="20"/>
              </w:rPr>
              <w:t xml:space="preserve">a/alebo medzinárodná maturita) </w:t>
            </w:r>
            <w:r>
              <w:rPr>
                <w:rFonts w:ascii="Calibri" w:hAnsi="Calibri"/>
                <w:sz w:val="20"/>
                <w:szCs w:val="20"/>
              </w:rPr>
              <w:t xml:space="preserve"> </w:t>
            </w:r>
          </w:p>
        </w:tc>
        <w:tc>
          <w:tcPr>
            <w:tcW w:w="1016" w:type="dxa"/>
            <w:tcBorders>
              <w:top w:val="single" w:sz="4" w:space="0" w:color="auto"/>
              <w:left w:val="single" w:sz="4" w:space="0" w:color="auto"/>
              <w:bottom w:val="single" w:sz="4" w:space="0" w:color="auto"/>
              <w:right w:val="single" w:sz="4" w:space="0" w:color="auto"/>
            </w:tcBorders>
            <w:hideMark/>
          </w:tcPr>
          <w:p w14:paraId="29CDF4D8" w14:textId="77777777" w:rsidR="00D925D4" w:rsidRPr="005F2EC2" w:rsidRDefault="00D925D4" w:rsidP="00D925D4">
            <w:pPr>
              <w:adjustRightInd w:val="0"/>
              <w:spacing w:line="256" w:lineRule="auto"/>
              <w:jc w:val="center"/>
              <w:rPr>
                <w:rFonts w:ascii="Calibri" w:hAnsi="Calibri" w:cs="Calibri"/>
                <w:sz w:val="20"/>
                <w:szCs w:val="20"/>
              </w:rPr>
            </w:pPr>
            <w:r>
              <w:rPr>
                <w:rFonts w:ascii="Calibri" w:hAnsi="Calibri"/>
                <w:sz w:val="20"/>
                <w:szCs w:val="20"/>
              </w:rPr>
              <w:t>0 – 10</w:t>
            </w:r>
          </w:p>
        </w:tc>
      </w:tr>
    </w:tbl>
    <w:p w14:paraId="1E71A2BD" w14:textId="77777777" w:rsidR="009F6296" w:rsidRPr="005F2EC2" w:rsidRDefault="009F6296" w:rsidP="009F6296">
      <w:pPr>
        <w:autoSpaceDN w:val="0"/>
        <w:rPr>
          <w:rFonts w:ascii="Calibri" w:hAnsi="Calibri" w:cs="Calibri"/>
          <w:noProof/>
          <w:sz w:val="20"/>
          <w:szCs w:val="20"/>
        </w:rPr>
      </w:pPr>
      <w:r>
        <w:rPr>
          <w:rFonts w:ascii="Calibri" w:hAnsi="Calibri"/>
          <w:sz w:val="20"/>
          <w:szCs w:val="20"/>
        </w:rPr>
        <w:t xml:space="preserve">                                                          </w:t>
      </w:r>
    </w:p>
    <w:p w14:paraId="61FACC46" w14:textId="0E10EDEB" w:rsidR="00D925D4" w:rsidRDefault="009F6296" w:rsidP="005F2EC2">
      <w:pPr>
        <w:autoSpaceDN w:val="0"/>
        <w:rPr>
          <w:rFonts w:ascii="Calibri" w:hAnsi="Calibri"/>
          <w:b/>
          <w:sz w:val="20"/>
          <w:szCs w:val="20"/>
        </w:rPr>
      </w:pPr>
      <w:r>
        <w:rPr>
          <w:rFonts w:ascii="Calibri" w:hAnsi="Calibri"/>
          <w:sz w:val="20"/>
          <w:szCs w:val="20"/>
        </w:rPr>
        <w:t xml:space="preserve">                                                                                   </w:t>
      </w:r>
      <w:r>
        <w:rPr>
          <w:rFonts w:ascii="Calibri" w:hAnsi="Calibri"/>
          <w:b/>
          <w:sz w:val="20"/>
          <w:szCs w:val="20"/>
        </w:rPr>
        <w:t>Článok 12</w:t>
      </w:r>
    </w:p>
    <w:p w14:paraId="3A83F829" w14:textId="77777777" w:rsidR="00D61E68" w:rsidRPr="005F2EC2" w:rsidRDefault="00D61E68" w:rsidP="005F2EC2">
      <w:pPr>
        <w:autoSpaceDN w:val="0"/>
        <w:rPr>
          <w:rFonts w:ascii="Calibri" w:eastAsia="Calibri" w:hAnsi="Calibri" w:cs="Calibri"/>
          <w:b/>
          <w:sz w:val="20"/>
          <w:szCs w:val="20"/>
        </w:rPr>
      </w:pPr>
    </w:p>
    <w:p w14:paraId="6D7B7FEE" w14:textId="24A9A52C" w:rsidR="00D925D4" w:rsidRPr="005F2EC2" w:rsidRDefault="009F6296" w:rsidP="009F6296">
      <w:pPr>
        <w:widowControl w:val="0"/>
        <w:autoSpaceDE w:val="0"/>
        <w:autoSpaceDN w:val="0"/>
        <w:jc w:val="both"/>
        <w:rPr>
          <w:rFonts w:ascii="Calibri" w:eastAsia="Calibri" w:hAnsi="Calibri" w:cs="Calibri"/>
          <w:sz w:val="20"/>
          <w:szCs w:val="20"/>
        </w:rPr>
      </w:pPr>
      <w:r>
        <w:rPr>
          <w:rFonts w:ascii="Calibri" w:hAnsi="Calibri"/>
          <w:sz w:val="20"/>
          <w:szCs w:val="20"/>
        </w:rPr>
        <w:t xml:space="preserve">      V súlade s kritériami stanovenými v pravidlách a súbehu komisia zostaví poradovník žiadateľov s návrhom na rozdelenie finančných prostriedkov plánovaných v súbehu. </w:t>
      </w:r>
    </w:p>
    <w:p w14:paraId="56E73616" w14:textId="77C1CF71" w:rsidR="00D925D4" w:rsidRPr="005F2EC2" w:rsidRDefault="009F6296" w:rsidP="009F6296">
      <w:pPr>
        <w:widowControl w:val="0"/>
        <w:autoSpaceDE w:val="0"/>
        <w:autoSpaceDN w:val="0"/>
        <w:jc w:val="both"/>
        <w:rPr>
          <w:rFonts w:ascii="Calibri" w:eastAsia="Calibri" w:hAnsi="Calibri" w:cs="Calibri"/>
          <w:sz w:val="20"/>
          <w:szCs w:val="20"/>
        </w:rPr>
      </w:pPr>
      <w:r>
        <w:rPr>
          <w:rFonts w:ascii="Calibri" w:hAnsi="Calibri"/>
          <w:sz w:val="20"/>
          <w:szCs w:val="20"/>
        </w:rPr>
        <w:t xml:space="preserve">     Komisia je povinná v lehote, ktorá nesmie presiahnuť 60 dní odo dňa uplynutia lehoty na podávanie prihlášok, vypracovať návrh na rozdelenie finančných prostriedkov a predložiť ho spolu s poradovníkom na rozhodovanie pokrajinskému tajomníkovi.</w:t>
      </w:r>
    </w:p>
    <w:p w14:paraId="0E00D347" w14:textId="77777777" w:rsidR="00D925D4" w:rsidRPr="005F2EC2" w:rsidRDefault="00D925D4" w:rsidP="00D925D4">
      <w:pPr>
        <w:ind w:firstLine="708"/>
        <w:jc w:val="both"/>
        <w:rPr>
          <w:rFonts w:ascii="Calibri" w:hAnsi="Calibri" w:cs="Calibri"/>
          <w:noProof/>
          <w:sz w:val="20"/>
          <w:szCs w:val="20"/>
          <w:highlight w:val="yellow"/>
          <w:lang w:val="sr-Cyrl-RS"/>
        </w:rPr>
      </w:pPr>
    </w:p>
    <w:p w14:paraId="27514050" w14:textId="2C0734BC" w:rsidR="00D61E68" w:rsidRPr="00CA2A87" w:rsidRDefault="00D925D4" w:rsidP="00CA2A87">
      <w:pPr>
        <w:autoSpaceDN w:val="0"/>
        <w:jc w:val="center"/>
        <w:rPr>
          <w:rFonts w:ascii="Calibri" w:hAnsi="Calibri" w:cs="Calibri"/>
          <w:b/>
          <w:sz w:val="20"/>
          <w:szCs w:val="20"/>
        </w:rPr>
      </w:pPr>
      <w:r>
        <w:rPr>
          <w:rFonts w:ascii="Calibri" w:hAnsi="Calibri"/>
          <w:b/>
          <w:sz w:val="20"/>
          <w:szCs w:val="20"/>
        </w:rPr>
        <w:t>Rozhodovanie o pridelení prostriedkov podľa súbehu</w:t>
      </w:r>
    </w:p>
    <w:p w14:paraId="7055EECE" w14:textId="731CF747" w:rsidR="00D925D4" w:rsidRDefault="00D925D4" w:rsidP="005F2EC2">
      <w:pPr>
        <w:widowControl w:val="0"/>
        <w:autoSpaceDE w:val="0"/>
        <w:autoSpaceDN w:val="0"/>
        <w:spacing w:line="228" w:lineRule="auto"/>
        <w:ind w:left="113" w:right="118" w:firstLine="355"/>
        <w:jc w:val="center"/>
        <w:rPr>
          <w:rFonts w:ascii="Calibri" w:hAnsi="Calibri"/>
          <w:b/>
          <w:sz w:val="20"/>
          <w:szCs w:val="20"/>
        </w:rPr>
      </w:pPr>
      <w:r>
        <w:rPr>
          <w:rFonts w:ascii="Calibri" w:hAnsi="Calibri"/>
          <w:b/>
          <w:sz w:val="20"/>
          <w:szCs w:val="20"/>
        </w:rPr>
        <w:t>Článok 13</w:t>
      </w:r>
    </w:p>
    <w:p w14:paraId="3947642B" w14:textId="77777777" w:rsidR="00D61E68" w:rsidRPr="005F2EC2" w:rsidRDefault="00D61E68" w:rsidP="005F2EC2">
      <w:pPr>
        <w:widowControl w:val="0"/>
        <w:autoSpaceDE w:val="0"/>
        <w:autoSpaceDN w:val="0"/>
        <w:spacing w:line="228" w:lineRule="auto"/>
        <w:ind w:left="113" w:right="118" w:firstLine="355"/>
        <w:jc w:val="center"/>
        <w:rPr>
          <w:rFonts w:ascii="Calibri" w:hAnsi="Calibri" w:cs="Calibri"/>
          <w:b/>
          <w:sz w:val="20"/>
          <w:szCs w:val="20"/>
        </w:rPr>
      </w:pPr>
    </w:p>
    <w:p w14:paraId="2BB73EB6" w14:textId="01D16971" w:rsidR="00D925D4" w:rsidRPr="005F2EC2" w:rsidRDefault="009F6296" w:rsidP="009F6296">
      <w:pPr>
        <w:widowControl w:val="0"/>
        <w:autoSpaceDE w:val="0"/>
        <w:autoSpaceDN w:val="0"/>
        <w:jc w:val="both"/>
        <w:rPr>
          <w:rFonts w:ascii="Calibri" w:eastAsia="Calibri" w:hAnsi="Calibri" w:cs="Calibri"/>
          <w:sz w:val="20"/>
          <w:szCs w:val="20"/>
        </w:rPr>
      </w:pPr>
      <w:r>
        <w:rPr>
          <w:rFonts w:ascii="Calibri" w:hAnsi="Calibri"/>
          <w:sz w:val="20"/>
          <w:szCs w:val="20"/>
        </w:rPr>
        <w:t xml:space="preserve">    Pokrajinský tajomník posúdi návrh komisie s poradovníkom a rozhodne o rozdelení finančných prostriedkov základným a stredným školám, ktoré sú účastníkmi súbehu, rozhodnutím.</w:t>
      </w:r>
    </w:p>
    <w:p w14:paraId="2FED98EC" w14:textId="77126C5E" w:rsidR="00D925D4" w:rsidRPr="005F2EC2" w:rsidRDefault="009F6296" w:rsidP="009F6296">
      <w:pPr>
        <w:widowControl w:val="0"/>
        <w:autoSpaceDE w:val="0"/>
        <w:autoSpaceDN w:val="0"/>
        <w:rPr>
          <w:rFonts w:ascii="Calibri" w:eastAsia="Calibri" w:hAnsi="Calibri" w:cs="Calibri"/>
          <w:sz w:val="20"/>
          <w:szCs w:val="20"/>
        </w:rPr>
      </w:pPr>
      <w:r>
        <w:rPr>
          <w:rFonts w:ascii="Calibri" w:hAnsi="Calibri"/>
          <w:sz w:val="20"/>
          <w:szCs w:val="20"/>
        </w:rPr>
        <w:t xml:space="preserve">     Rozhodnutie uvedené v odseku 1 tohto článku je konečné.</w:t>
      </w:r>
    </w:p>
    <w:p w14:paraId="4910502E" w14:textId="2CF376B3" w:rsidR="00D925D4" w:rsidRPr="005F2EC2" w:rsidRDefault="009F6296" w:rsidP="009F6296">
      <w:pPr>
        <w:widowControl w:val="0"/>
        <w:autoSpaceDE w:val="0"/>
        <w:autoSpaceDN w:val="0"/>
        <w:rPr>
          <w:rFonts w:ascii="Calibri" w:eastAsia="Calibri" w:hAnsi="Calibri" w:cs="Calibri"/>
          <w:sz w:val="20"/>
          <w:szCs w:val="20"/>
        </w:rPr>
      </w:pPr>
      <w:r>
        <w:rPr>
          <w:rFonts w:ascii="Calibri" w:hAnsi="Calibri"/>
          <w:sz w:val="20"/>
          <w:szCs w:val="20"/>
        </w:rPr>
        <w:t xml:space="preserve">     Rozhodnutie uvedené v odseku 1 tohto článku s tabuľkovým prehľadom obsahujúcim informácie o pridelení finančných prostriedkov sa uverejní na webovom sídle pokrajinského sekretariátu.</w:t>
      </w:r>
    </w:p>
    <w:p w14:paraId="4F18F98A" w14:textId="77777777" w:rsidR="006121A4" w:rsidRPr="005F2EC2" w:rsidRDefault="006121A4" w:rsidP="00B9433E">
      <w:pPr>
        <w:ind w:firstLine="720"/>
        <w:jc w:val="both"/>
        <w:rPr>
          <w:rFonts w:ascii="Calibri" w:hAnsi="Calibri" w:cs="Calibri"/>
          <w:noProof/>
          <w:sz w:val="20"/>
          <w:szCs w:val="20"/>
          <w:lang w:val="sr-Cyrl-CS" w:eastAsia="en-GB"/>
        </w:rPr>
      </w:pPr>
    </w:p>
    <w:p w14:paraId="1B5C49EA" w14:textId="77777777" w:rsidR="00D925D4" w:rsidRPr="005F2EC2" w:rsidRDefault="00D925D4" w:rsidP="00C33CEB">
      <w:pPr>
        <w:pStyle w:val="BodyText"/>
        <w:spacing w:line="228" w:lineRule="auto"/>
        <w:ind w:left="113" w:right="118" w:hanging="23"/>
        <w:jc w:val="center"/>
        <w:rPr>
          <w:rFonts w:ascii="Calibri" w:hAnsi="Calibri" w:cs="Calibri"/>
          <w:b/>
          <w:sz w:val="20"/>
          <w:szCs w:val="20"/>
        </w:rPr>
      </w:pPr>
      <w:r>
        <w:rPr>
          <w:rFonts w:ascii="Calibri" w:hAnsi="Calibri"/>
          <w:sz w:val="20"/>
          <w:szCs w:val="20"/>
        </w:rPr>
        <w:t xml:space="preserve">  </w:t>
      </w:r>
      <w:r>
        <w:rPr>
          <w:rFonts w:ascii="Calibri" w:hAnsi="Calibri"/>
          <w:b/>
          <w:sz w:val="20"/>
          <w:szCs w:val="20"/>
        </w:rPr>
        <w:t>Uzavieranie zmlúv</w:t>
      </w:r>
    </w:p>
    <w:p w14:paraId="2B8C3670" w14:textId="2B7EDB9A" w:rsidR="00D925D4" w:rsidRDefault="00D925D4" w:rsidP="005F2EC2">
      <w:pPr>
        <w:widowControl w:val="0"/>
        <w:autoSpaceDE w:val="0"/>
        <w:autoSpaceDN w:val="0"/>
        <w:spacing w:line="228" w:lineRule="auto"/>
        <w:ind w:left="113" w:right="118" w:hanging="23"/>
        <w:jc w:val="center"/>
        <w:rPr>
          <w:rFonts w:ascii="Calibri" w:hAnsi="Calibri"/>
          <w:b/>
          <w:sz w:val="20"/>
          <w:szCs w:val="20"/>
        </w:rPr>
      </w:pPr>
      <w:r>
        <w:rPr>
          <w:rFonts w:ascii="Calibri" w:hAnsi="Calibri"/>
          <w:b/>
          <w:sz w:val="20"/>
          <w:szCs w:val="20"/>
        </w:rPr>
        <w:t>Článok 14</w:t>
      </w:r>
    </w:p>
    <w:p w14:paraId="3CBB6B7A" w14:textId="77777777" w:rsidR="00CA2A87" w:rsidRPr="005F2EC2" w:rsidRDefault="00CA2A87" w:rsidP="005F2EC2">
      <w:pPr>
        <w:widowControl w:val="0"/>
        <w:autoSpaceDE w:val="0"/>
        <w:autoSpaceDN w:val="0"/>
        <w:spacing w:line="228" w:lineRule="auto"/>
        <w:ind w:left="113" w:right="118" w:hanging="23"/>
        <w:jc w:val="center"/>
        <w:rPr>
          <w:rFonts w:ascii="Calibri" w:hAnsi="Calibri" w:cs="Calibri"/>
          <w:b/>
          <w:sz w:val="20"/>
          <w:szCs w:val="20"/>
        </w:rPr>
      </w:pPr>
    </w:p>
    <w:p w14:paraId="3D113630" w14:textId="443992BC" w:rsidR="00D925D4" w:rsidRPr="005F2EC2" w:rsidRDefault="009F6296" w:rsidP="009F6296">
      <w:pPr>
        <w:widowControl w:val="0"/>
        <w:autoSpaceDE w:val="0"/>
        <w:autoSpaceDN w:val="0"/>
        <w:jc w:val="both"/>
        <w:rPr>
          <w:rFonts w:ascii="Calibri" w:eastAsia="Calibri" w:hAnsi="Calibri" w:cs="Calibri"/>
          <w:sz w:val="20"/>
          <w:szCs w:val="20"/>
        </w:rPr>
      </w:pPr>
      <w:r>
        <w:rPr>
          <w:rFonts w:ascii="Calibri" w:hAnsi="Calibri"/>
          <w:sz w:val="20"/>
          <w:szCs w:val="20"/>
        </w:rPr>
        <w:t xml:space="preserve">   Pokrajinský sekretariát preberá povinnosť prideľovať finančné prostriedky na základe uzatvorenej zmluvy a v zmysle zákona, ktorým sa upravuje rozpočtový systém.</w:t>
      </w:r>
    </w:p>
    <w:p w14:paraId="6FBF19B9" w14:textId="77777777" w:rsidR="009F6296" w:rsidRPr="005F2EC2" w:rsidRDefault="009F6296" w:rsidP="009F6296">
      <w:pPr>
        <w:widowControl w:val="0"/>
        <w:autoSpaceDE w:val="0"/>
        <w:autoSpaceDN w:val="0"/>
        <w:jc w:val="both"/>
        <w:rPr>
          <w:rFonts w:ascii="Calibri" w:eastAsia="Calibri" w:hAnsi="Calibri" w:cs="Calibri"/>
          <w:sz w:val="20"/>
          <w:szCs w:val="20"/>
          <w:lang w:val="sr-Cyrl-RS"/>
        </w:rPr>
      </w:pPr>
    </w:p>
    <w:p w14:paraId="5AC7CCF5" w14:textId="77777777" w:rsidR="00D925D4" w:rsidRPr="005F2EC2" w:rsidRDefault="00D925D4" w:rsidP="00D925D4">
      <w:pPr>
        <w:widowControl w:val="0"/>
        <w:autoSpaceDE w:val="0"/>
        <w:autoSpaceDN w:val="0"/>
        <w:ind w:firstLine="464"/>
        <w:jc w:val="center"/>
        <w:rPr>
          <w:rFonts w:ascii="Calibri" w:eastAsia="Calibri" w:hAnsi="Calibri" w:cs="Calibri"/>
          <w:b/>
          <w:sz w:val="20"/>
          <w:szCs w:val="20"/>
          <w:lang w:val="sr-Latn-RS"/>
        </w:rPr>
      </w:pPr>
    </w:p>
    <w:p w14:paraId="143BF08C" w14:textId="75975EF2" w:rsidR="00D61E68" w:rsidRPr="00CA2A87" w:rsidRDefault="00D925D4" w:rsidP="00CA2A87">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Vyplatenie pridelených prostriedkov</w:t>
      </w:r>
    </w:p>
    <w:p w14:paraId="2D59C4E6" w14:textId="5A87EC93" w:rsidR="00D925D4" w:rsidRDefault="00D925D4" w:rsidP="005F2EC2">
      <w:pPr>
        <w:widowControl w:val="0"/>
        <w:autoSpaceDE w:val="0"/>
        <w:autoSpaceDN w:val="0"/>
        <w:ind w:firstLine="464"/>
        <w:jc w:val="center"/>
        <w:rPr>
          <w:rFonts w:ascii="Calibri" w:hAnsi="Calibri"/>
          <w:b/>
          <w:sz w:val="20"/>
          <w:szCs w:val="20"/>
        </w:rPr>
      </w:pPr>
      <w:r>
        <w:rPr>
          <w:rFonts w:ascii="Calibri" w:hAnsi="Calibri"/>
          <w:b/>
          <w:sz w:val="20"/>
          <w:szCs w:val="20"/>
        </w:rPr>
        <w:t>Článok 15</w:t>
      </w:r>
    </w:p>
    <w:p w14:paraId="2B8B9959" w14:textId="77777777" w:rsidR="00D61E68" w:rsidRPr="005F2EC2" w:rsidRDefault="00D61E68" w:rsidP="005F2EC2">
      <w:pPr>
        <w:widowControl w:val="0"/>
        <w:autoSpaceDE w:val="0"/>
        <w:autoSpaceDN w:val="0"/>
        <w:ind w:firstLine="464"/>
        <w:jc w:val="center"/>
        <w:rPr>
          <w:rFonts w:ascii="Calibri" w:eastAsia="Calibri" w:hAnsi="Calibri" w:cs="Calibri"/>
          <w:b/>
          <w:sz w:val="20"/>
          <w:szCs w:val="20"/>
        </w:rPr>
      </w:pPr>
    </w:p>
    <w:p w14:paraId="67E3701D" w14:textId="77777777" w:rsidR="00D925D4" w:rsidRPr="005F2EC2" w:rsidRDefault="00D925D4" w:rsidP="00D925D4">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Pridelené prostriedky sa vyplácajú po uzavretí zmluvy a na základe individuálnych platobných rozhodnutí v súlade s dynamikou prílevu prostriedkov do rozpočtu AP Vojvodiny. </w:t>
      </w:r>
    </w:p>
    <w:p w14:paraId="1B50EA18" w14:textId="77777777" w:rsidR="00D925D4" w:rsidRPr="005F2EC2" w:rsidRDefault="00D925D4" w:rsidP="00D925D4">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lastRenderedPageBreak/>
        <w:t>Ak prijímateľ prostriedkov nepodpíše zmluvu v lehote určenej sekretariátom, bude sa považovať, že odstúpil od podanej prihlášky.</w:t>
      </w:r>
    </w:p>
    <w:p w14:paraId="0A31613B" w14:textId="77777777" w:rsidR="00D925D4" w:rsidRPr="005F2EC2" w:rsidRDefault="00D925D4" w:rsidP="00D925D4">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V prípade, že z dôvodov, ktoré sekretariát nemôže ovplyvniť, nebude možné previesť pridelené finančné prostriedky na účty žiadateľa, sekretariát má právo zmluvu zrušiť.</w:t>
      </w:r>
    </w:p>
    <w:p w14:paraId="4BD1CC0F" w14:textId="4DD7D7CD" w:rsidR="005F2EC2" w:rsidRPr="005F2EC2" w:rsidRDefault="005F2EC2" w:rsidP="0054698C">
      <w:pPr>
        <w:rPr>
          <w:rFonts w:ascii="Calibri" w:hAnsi="Calibri" w:cs="Calibri"/>
          <w:b/>
          <w:noProof/>
          <w:sz w:val="20"/>
          <w:szCs w:val="20"/>
          <w:lang w:val="sr-Cyrl-RS"/>
        </w:rPr>
      </w:pPr>
    </w:p>
    <w:p w14:paraId="28CEB127" w14:textId="7F1D775F" w:rsidR="004B0211" w:rsidRPr="004B0211" w:rsidRDefault="00D925D4" w:rsidP="00CA2A87">
      <w:pPr>
        <w:widowControl w:val="0"/>
        <w:autoSpaceDE w:val="0"/>
        <w:autoSpaceDN w:val="0"/>
        <w:spacing w:line="228" w:lineRule="auto"/>
        <w:ind w:left="113" w:right="118" w:firstLine="355"/>
        <w:jc w:val="center"/>
        <w:rPr>
          <w:rFonts w:ascii="Calibri" w:hAnsi="Calibri"/>
          <w:b/>
          <w:sz w:val="20"/>
          <w:szCs w:val="20"/>
        </w:rPr>
      </w:pPr>
      <w:r>
        <w:rPr>
          <w:rFonts w:ascii="Calibri" w:hAnsi="Calibri"/>
          <w:b/>
          <w:sz w:val="20"/>
          <w:szCs w:val="20"/>
        </w:rPr>
        <w:t>Použitie pridelených finančných prostriedkov a povinnosti prijímateľov finančných prostriedkov</w:t>
      </w:r>
    </w:p>
    <w:p w14:paraId="6BE0F364" w14:textId="2586ABEC" w:rsidR="00D925D4" w:rsidRDefault="00D925D4" w:rsidP="00D925D4">
      <w:pPr>
        <w:widowControl w:val="0"/>
        <w:autoSpaceDE w:val="0"/>
        <w:autoSpaceDN w:val="0"/>
        <w:spacing w:line="228" w:lineRule="auto"/>
        <w:ind w:left="113" w:right="118" w:firstLine="355"/>
        <w:jc w:val="center"/>
        <w:rPr>
          <w:rFonts w:ascii="Calibri" w:hAnsi="Calibri"/>
          <w:b/>
          <w:sz w:val="20"/>
          <w:szCs w:val="20"/>
        </w:rPr>
      </w:pPr>
      <w:r>
        <w:rPr>
          <w:rFonts w:ascii="Calibri" w:hAnsi="Calibri"/>
          <w:b/>
          <w:sz w:val="20"/>
          <w:szCs w:val="20"/>
        </w:rPr>
        <w:t>Článok 16</w:t>
      </w:r>
    </w:p>
    <w:p w14:paraId="3A7E463D" w14:textId="77777777" w:rsidR="00D61E68" w:rsidRPr="005F2EC2" w:rsidRDefault="00D61E68" w:rsidP="00D925D4">
      <w:pPr>
        <w:widowControl w:val="0"/>
        <w:autoSpaceDE w:val="0"/>
        <w:autoSpaceDN w:val="0"/>
        <w:spacing w:line="228" w:lineRule="auto"/>
        <w:ind w:left="113" w:right="118" w:firstLine="355"/>
        <w:jc w:val="center"/>
        <w:rPr>
          <w:rFonts w:ascii="Calibri" w:hAnsi="Calibri" w:cs="Calibri"/>
          <w:b/>
          <w:sz w:val="20"/>
          <w:szCs w:val="20"/>
        </w:rPr>
      </w:pPr>
    </w:p>
    <w:p w14:paraId="2FE63346" w14:textId="0D8E46C0" w:rsidR="00D925D4" w:rsidRPr="0027506C" w:rsidRDefault="009F6296" w:rsidP="009F6296">
      <w:pPr>
        <w:jc w:val="both"/>
        <w:rPr>
          <w:rFonts w:ascii="Calibri" w:hAnsi="Calibri" w:cs="Calibri"/>
          <w:sz w:val="20"/>
          <w:szCs w:val="20"/>
        </w:rPr>
      </w:pPr>
      <w:r>
        <w:rPr>
          <w:rFonts w:ascii="Calibri" w:hAnsi="Calibri"/>
          <w:color w:val="FF0000"/>
          <w:sz w:val="20"/>
          <w:szCs w:val="20"/>
        </w:rPr>
        <w:t xml:space="preserve">    </w:t>
      </w:r>
      <w:r>
        <w:rPr>
          <w:rFonts w:ascii="Calibri" w:hAnsi="Calibri"/>
          <w:sz w:val="20"/>
          <w:szCs w:val="20"/>
        </w:rPr>
        <w:t xml:space="preserve">Prijímateľ je povinný pridelené finančné prostriedky použiť na ich účel a zákonne a minúť ich najneskôr do </w:t>
      </w:r>
      <w:r>
        <w:rPr>
          <w:rFonts w:ascii="Calibri" w:hAnsi="Calibri"/>
          <w:b/>
          <w:bCs/>
          <w:sz w:val="20"/>
          <w:szCs w:val="20"/>
        </w:rPr>
        <w:t>31. 12. 2026</w:t>
      </w:r>
      <w:r>
        <w:rPr>
          <w:rFonts w:ascii="Calibri" w:hAnsi="Calibri"/>
          <w:sz w:val="20"/>
          <w:szCs w:val="20"/>
        </w:rPr>
        <w:t xml:space="preserve"> a nevyčerpané finančné prostriedky vrátiť do rozpočtu AP Vojvodiny. Ak z opodstatnených dôvodov nie je možné realizovať určený účel v stanovenom termíne, je prijímateľ povinný podať žiadosť o predĺženie termínu realizácie, po čom bude vypracovaný dodatok k zmluve.</w:t>
      </w:r>
    </w:p>
    <w:p w14:paraId="0248F820" w14:textId="4AF7F3F0" w:rsidR="00D925D4" w:rsidRPr="005F2EC2" w:rsidRDefault="009F6296" w:rsidP="009F6296">
      <w:pPr>
        <w:jc w:val="both"/>
        <w:rPr>
          <w:rFonts w:ascii="Calibri" w:hAnsi="Calibri" w:cs="Calibri"/>
          <w:noProof/>
          <w:sz w:val="20"/>
          <w:szCs w:val="20"/>
        </w:rPr>
      </w:pPr>
      <w:r>
        <w:rPr>
          <w:rFonts w:ascii="Calibri" w:hAnsi="Calibri"/>
          <w:sz w:val="20"/>
          <w:szCs w:val="20"/>
        </w:rPr>
        <w:t xml:space="preserve">     Prijímateľ prostriedkov je povinný podať správu o používaní prostriedkov najneskôr za 15 (pätnásť) dní po lehote určenej na realizáciu účelu, na aký sú prostriedky pridelené, spolu so zodpovedajúcou dokumentáciou, ktorú overili zodpovedné osoby.</w:t>
      </w:r>
    </w:p>
    <w:p w14:paraId="4463A50A" w14:textId="69597A65" w:rsidR="00D925D4" w:rsidRPr="005F2EC2" w:rsidRDefault="009F6296" w:rsidP="009F6296">
      <w:pPr>
        <w:jc w:val="both"/>
        <w:rPr>
          <w:rFonts w:ascii="Calibri" w:hAnsi="Calibri" w:cs="Calibri"/>
          <w:noProof/>
          <w:sz w:val="20"/>
          <w:szCs w:val="20"/>
        </w:rPr>
      </w:pPr>
      <w:r>
        <w:rPr>
          <w:rFonts w:ascii="Calibri" w:hAnsi="Calibri"/>
          <w:sz w:val="20"/>
          <w:szCs w:val="20"/>
        </w:rPr>
        <w:t xml:space="preserve">     Prijímateľovi, ktorý správu neodovzdá v stanovenej lehote, sa odošle upomienka.</w:t>
      </w:r>
    </w:p>
    <w:p w14:paraId="3DBF3A11" w14:textId="444062BA" w:rsidR="00D925D4" w:rsidRPr="005F2EC2" w:rsidRDefault="009F6296" w:rsidP="009F6296">
      <w:pPr>
        <w:jc w:val="both"/>
        <w:rPr>
          <w:rFonts w:ascii="Calibri" w:hAnsi="Calibri" w:cs="Calibri"/>
          <w:noProof/>
          <w:sz w:val="20"/>
          <w:szCs w:val="20"/>
        </w:rPr>
      </w:pPr>
      <w:r>
        <w:rPr>
          <w:rFonts w:ascii="Calibri" w:hAnsi="Calibri"/>
          <w:sz w:val="20"/>
          <w:szCs w:val="20"/>
        </w:rPr>
        <w:t xml:space="preserve">     Ak ani po 8 dňoch od doručenia upomienky nepredloží úplnú správu a finančnú správu, je príjemca povinný vrátiť prostriedky do rozpočtu APV a stratí právo podať prihlášku na ďalší súbeh.</w:t>
      </w:r>
    </w:p>
    <w:p w14:paraId="6C2368F4" w14:textId="033C44F8" w:rsidR="00D925D4" w:rsidRPr="005F2EC2" w:rsidRDefault="009F6296" w:rsidP="00D925D4">
      <w:pPr>
        <w:jc w:val="both"/>
        <w:rPr>
          <w:rFonts w:ascii="Calibri" w:hAnsi="Calibri" w:cs="Calibri"/>
          <w:noProof/>
          <w:sz w:val="20"/>
          <w:szCs w:val="20"/>
        </w:rPr>
      </w:pPr>
      <w:r>
        <w:rPr>
          <w:rFonts w:ascii="Calibri" w:hAnsi="Calibri"/>
          <w:sz w:val="20"/>
          <w:szCs w:val="20"/>
        </w:rPr>
        <w:t xml:space="preserve">      Prijímateľ je povinný vrátiť prijaté prostriedky do rozpočtu AP Vojvodiny, ak sa zistí, že prostriedky nie sú použité na realizáciu účelu, na ktorý boli pridelené.</w:t>
      </w:r>
    </w:p>
    <w:p w14:paraId="69C97007" w14:textId="7E98CC9C" w:rsidR="00905BC0" w:rsidRPr="005F2EC2" w:rsidRDefault="009F6296" w:rsidP="009F6296">
      <w:pPr>
        <w:jc w:val="both"/>
        <w:rPr>
          <w:rFonts w:ascii="Calibri" w:hAnsi="Calibri" w:cs="Calibri"/>
          <w:b/>
          <w:noProof/>
          <w:sz w:val="20"/>
          <w:szCs w:val="20"/>
        </w:rPr>
      </w:pPr>
      <w:r>
        <w:rPr>
          <w:rFonts w:ascii="Calibri" w:hAnsi="Calibri"/>
          <w:sz w:val="20"/>
          <w:szCs w:val="20"/>
        </w:rPr>
        <w:t xml:space="preserve">       V prípade pochybností o tom, že pridelené finančné prostriedky neboli účelovo použité, pokrajinský sekretariát začne konanie pred príslušnou rozpočtovou inšpekciou, aby kontroloval účel a zákonné využitie finančných prostriedkov.</w:t>
      </w:r>
      <w:r>
        <w:rPr>
          <w:rFonts w:ascii="Calibri" w:hAnsi="Calibri"/>
          <w:b/>
          <w:sz w:val="20"/>
          <w:szCs w:val="20"/>
        </w:rPr>
        <w:t xml:space="preserve">    </w:t>
      </w:r>
    </w:p>
    <w:p w14:paraId="46EE693E" w14:textId="77777777" w:rsidR="009F6296" w:rsidRPr="005F2EC2" w:rsidRDefault="009F6296" w:rsidP="009F6296">
      <w:pPr>
        <w:jc w:val="both"/>
        <w:rPr>
          <w:rFonts w:ascii="Calibri" w:hAnsi="Calibri" w:cs="Calibri"/>
          <w:b/>
          <w:noProof/>
          <w:sz w:val="20"/>
          <w:szCs w:val="20"/>
          <w:lang w:val="sr-Cyrl-RS"/>
        </w:rPr>
      </w:pPr>
    </w:p>
    <w:p w14:paraId="64A4F629" w14:textId="55182EA4" w:rsidR="004B0211" w:rsidRPr="00CA2A87" w:rsidRDefault="00D925D4" w:rsidP="00CA2A87">
      <w:pPr>
        <w:shd w:val="clear" w:color="auto" w:fill="FFFFFF"/>
        <w:jc w:val="center"/>
        <w:rPr>
          <w:rFonts w:ascii="Calibri" w:eastAsia="Calibri" w:hAnsi="Calibri" w:cs="Calibri"/>
          <w:b/>
          <w:bCs/>
          <w:sz w:val="20"/>
          <w:szCs w:val="20"/>
        </w:rPr>
      </w:pPr>
      <w:r>
        <w:rPr>
          <w:rFonts w:ascii="Calibri" w:hAnsi="Calibri"/>
          <w:b/>
          <w:bCs/>
          <w:sz w:val="20"/>
          <w:szCs w:val="20"/>
        </w:rPr>
        <w:t>Sledovanie realizácie</w:t>
      </w:r>
    </w:p>
    <w:p w14:paraId="7A36F8F5" w14:textId="19597345" w:rsidR="00D925D4" w:rsidRDefault="00D925D4" w:rsidP="005F2EC2">
      <w:pPr>
        <w:jc w:val="center"/>
        <w:rPr>
          <w:rFonts w:ascii="Calibri" w:hAnsi="Calibri"/>
          <w:b/>
          <w:sz w:val="20"/>
          <w:szCs w:val="20"/>
        </w:rPr>
      </w:pPr>
      <w:r>
        <w:rPr>
          <w:rFonts w:ascii="Calibri" w:hAnsi="Calibri"/>
          <w:b/>
          <w:sz w:val="20"/>
          <w:szCs w:val="20"/>
        </w:rPr>
        <w:t>Článok 17</w:t>
      </w:r>
    </w:p>
    <w:p w14:paraId="17A7E121" w14:textId="77777777" w:rsidR="00D61E68" w:rsidRPr="005F2EC2" w:rsidRDefault="00D61E68" w:rsidP="005F2EC2">
      <w:pPr>
        <w:jc w:val="center"/>
        <w:rPr>
          <w:rFonts w:ascii="Calibri" w:hAnsi="Calibri" w:cs="Calibri"/>
          <w:b/>
          <w:noProof/>
          <w:sz w:val="20"/>
          <w:szCs w:val="20"/>
        </w:rPr>
      </w:pPr>
    </w:p>
    <w:p w14:paraId="29F9BF19" w14:textId="77777777" w:rsidR="00D925D4" w:rsidRPr="005F2EC2" w:rsidRDefault="00D925D4" w:rsidP="00D925D4">
      <w:pPr>
        <w:jc w:val="both"/>
        <w:rPr>
          <w:rFonts w:ascii="Calibri" w:hAnsi="Calibri" w:cs="Calibri"/>
          <w:noProof/>
          <w:sz w:val="20"/>
          <w:szCs w:val="20"/>
        </w:rPr>
      </w:pPr>
      <w:r>
        <w:rPr>
          <w:rFonts w:ascii="Calibri" w:hAnsi="Calibri"/>
          <w:sz w:val="20"/>
          <w:szCs w:val="20"/>
        </w:rPr>
        <w:tab/>
        <w:t>Z dôvodu sledovania realizácie programu alebo projektu sekretariát môže realizovať monitorovacie návštevy.</w:t>
      </w:r>
    </w:p>
    <w:p w14:paraId="6D24F1BA" w14:textId="77777777" w:rsidR="00D925D4" w:rsidRPr="005F2EC2" w:rsidRDefault="00D925D4" w:rsidP="00D925D4">
      <w:pPr>
        <w:jc w:val="both"/>
        <w:rPr>
          <w:rFonts w:ascii="Calibri" w:hAnsi="Calibri" w:cs="Calibri"/>
          <w:noProof/>
          <w:sz w:val="20"/>
          <w:szCs w:val="20"/>
        </w:rPr>
      </w:pPr>
      <w:r>
        <w:rPr>
          <w:rFonts w:ascii="Calibri" w:hAnsi="Calibri"/>
          <w:sz w:val="20"/>
          <w:szCs w:val="20"/>
        </w:rPr>
        <w:tab/>
        <w:t>V prípade programov a projektov, ktoré trvajú dlhšie ako šesť mesiacov a ktorých schválené finančné prostriedky presahujú 500 000,00 dinárov, ako aj programov alebo projektov, ktoré trvajú dlhšie ako jeden rok, sekretariát vykonáva počas programu alebo projektu najmenej jednu monitorovaciu návštevu, resp. najmenej raz ročne.</w:t>
      </w:r>
    </w:p>
    <w:p w14:paraId="5F7FC668" w14:textId="7C914091" w:rsidR="00D925D4" w:rsidRPr="005F2EC2" w:rsidRDefault="00D925D4" w:rsidP="005F2EC2">
      <w:pPr>
        <w:ind w:firstLine="708"/>
        <w:jc w:val="both"/>
        <w:rPr>
          <w:rFonts w:ascii="Calibri" w:hAnsi="Calibri" w:cs="Calibri"/>
          <w:noProof/>
          <w:sz w:val="20"/>
          <w:szCs w:val="20"/>
        </w:rPr>
      </w:pPr>
      <w:r>
        <w:rPr>
          <w:rFonts w:ascii="Calibri" w:hAnsi="Calibri"/>
          <w:sz w:val="20"/>
          <w:szCs w:val="20"/>
        </w:rPr>
        <w:t>Sekretariát zostavuje správu o monitorovacej návšteve za 10 dní po dni uskutočnenia návštevy.</w:t>
      </w:r>
    </w:p>
    <w:p w14:paraId="2097F3EA" w14:textId="0245AC81" w:rsidR="004B0211" w:rsidRPr="00CA2A87" w:rsidRDefault="00D925D4" w:rsidP="00CA2A87">
      <w:pPr>
        <w:widowControl w:val="0"/>
        <w:autoSpaceDE w:val="0"/>
        <w:autoSpaceDN w:val="0"/>
        <w:spacing w:line="228" w:lineRule="auto"/>
        <w:ind w:left="113" w:right="118" w:hanging="23"/>
        <w:jc w:val="center"/>
        <w:rPr>
          <w:rFonts w:ascii="Calibri" w:eastAsia="Calibri" w:hAnsi="Calibri" w:cs="Calibri"/>
          <w:b/>
          <w:sz w:val="20"/>
          <w:szCs w:val="20"/>
        </w:rPr>
      </w:pPr>
      <w:r>
        <w:rPr>
          <w:rFonts w:ascii="Calibri" w:hAnsi="Calibri"/>
          <w:b/>
          <w:sz w:val="20"/>
          <w:szCs w:val="20"/>
        </w:rPr>
        <w:t>Záverečné ustanovenia</w:t>
      </w:r>
    </w:p>
    <w:p w14:paraId="3C5DA7E5" w14:textId="1E747845" w:rsidR="00C45C09" w:rsidRDefault="00D925D4" w:rsidP="005F2EC2">
      <w:pPr>
        <w:jc w:val="center"/>
        <w:rPr>
          <w:rFonts w:ascii="Calibri" w:hAnsi="Calibri"/>
          <w:b/>
          <w:sz w:val="20"/>
          <w:szCs w:val="20"/>
        </w:rPr>
      </w:pPr>
      <w:r>
        <w:rPr>
          <w:rFonts w:ascii="Calibri" w:hAnsi="Calibri"/>
          <w:b/>
          <w:sz w:val="20"/>
          <w:szCs w:val="20"/>
        </w:rPr>
        <w:t>Článok 18</w:t>
      </w:r>
    </w:p>
    <w:p w14:paraId="7536BB44" w14:textId="57344AEE" w:rsidR="00D61E68" w:rsidRPr="005F2EC2" w:rsidRDefault="00D61E68" w:rsidP="005F2EC2">
      <w:pPr>
        <w:jc w:val="center"/>
        <w:rPr>
          <w:rFonts w:ascii="Calibri" w:hAnsi="Calibri" w:cs="Calibri"/>
          <w:b/>
          <w:noProof/>
          <w:sz w:val="20"/>
          <w:szCs w:val="20"/>
        </w:rPr>
      </w:pPr>
    </w:p>
    <w:p w14:paraId="65122DE4" w14:textId="148C3C18" w:rsidR="00D925D4" w:rsidRPr="005F2EC2" w:rsidRDefault="00D925D4" w:rsidP="005F2EC2">
      <w:pPr>
        <w:widowControl w:val="0"/>
        <w:autoSpaceDE w:val="0"/>
        <w:autoSpaceDN w:val="0"/>
        <w:ind w:firstLine="468"/>
        <w:jc w:val="both"/>
        <w:rPr>
          <w:rFonts w:ascii="Calibri" w:eastAsia="Calibri" w:hAnsi="Calibri" w:cs="Calibri"/>
          <w:sz w:val="20"/>
          <w:szCs w:val="20"/>
        </w:rPr>
      </w:pPr>
      <w:r>
        <w:rPr>
          <w:rFonts w:ascii="Calibri" w:hAnsi="Calibri"/>
          <w:sz w:val="20"/>
          <w:szCs w:val="20"/>
        </w:rPr>
        <w:t>Tieto pravidlá nadobúdajú účinnosť dňom uverejnenia v Úradnom vestníku Autonómnej pokrajiny Vojvodiny a uverejňujú sa aj na oficiálnom webovom sídle Pokrajinského sekretariátu vzdelávania, predpisov, správy a národnostných menšín – národnostných spoločenstiev.</w:t>
      </w:r>
    </w:p>
    <w:p w14:paraId="36799A79" w14:textId="77777777" w:rsidR="00D925D4" w:rsidRPr="005F2EC2" w:rsidRDefault="00D925D4" w:rsidP="00D925D4">
      <w:pPr>
        <w:jc w:val="center"/>
        <w:rPr>
          <w:rFonts w:ascii="Calibri" w:hAnsi="Calibri" w:cs="Calibri"/>
          <w:noProof/>
          <w:sz w:val="20"/>
          <w:szCs w:val="20"/>
          <w:lang w:val="sr-Cyrl-RS"/>
        </w:rPr>
      </w:pPr>
    </w:p>
    <w:p w14:paraId="53332314" w14:textId="77777777" w:rsidR="0054698C" w:rsidRDefault="0054698C" w:rsidP="00D925D4">
      <w:pPr>
        <w:jc w:val="center"/>
        <w:rPr>
          <w:rFonts w:ascii="Calibri" w:hAnsi="Calibri" w:cs="Calibri"/>
          <w:noProof/>
          <w:sz w:val="20"/>
          <w:szCs w:val="20"/>
          <w:lang w:val="sr-Cyrl-RS"/>
        </w:rPr>
      </w:pPr>
    </w:p>
    <w:p w14:paraId="24227331" w14:textId="3AB7674F" w:rsidR="00D925D4" w:rsidRPr="005F2EC2" w:rsidRDefault="00D925D4" w:rsidP="004B0211">
      <w:pPr>
        <w:jc w:val="center"/>
        <w:rPr>
          <w:rFonts w:ascii="Calibri" w:hAnsi="Calibri" w:cs="Calibri"/>
          <w:noProof/>
          <w:sz w:val="20"/>
          <w:szCs w:val="20"/>
        </w:rPr>
      </w:pPr>
      <w:r>
        <w:rPr>
          <w:rFonts w:ascii="Calibri" w:hAnsi="Calibri"/>
          <w:sz w:val="20"/>
          <w:szCs w:val="20"/>
        </w:rPr>
        <w:t xml:space="preserve">POKRAJINSKÝ SEKRETARIÁT VZDELÁVANIA, PREDPISOV, SPRÁVY </w:t>
      </w:r>
      <w:r w:rsidR="004B0211">
        <w:rPr>
          <w:rFonts w:ascii="Calibri" w:hAnsi="Calibri"/>
          <w:sz w:val="20"/>
          <w:szCs w:val="20"/>
        </w:rPr>
        <w:t xml:space="preserve">                                                                      </w:t>
      </w:r>
      <w:r>
        <w:rPr>
          <w:rFonts w:ascii="Calibri" w:hAnsi="Calibri"/>
          <w:sz w:val="20"/>
          <w:szCs w:val="20"/>
        </w:rPr>
        <w:t>A</w:t>
      </w:r>
      <w:r w:rsidR="004B0211">
        <w:rPr>
          <w:rFonts w:ascii="Calibri" w:hAnsi="Calibri" w:cs="Calibri"/>
          <w:noProof/>
          <w:sz w:val="20"/>
          <w:szCs w:val="20"/>
        </w:rPr>
        <w:t xml:space="preserve"> </w:t>
      </w:r>
      <w:r>
        <w:rPr>
          <w:rFonts w:ascii="Calibri" w:hAnsi="Calibri"/>
          <w:sz w:val="20"/>
          <w:szCs w:val="20"/>
        </w:rPr>
        <w:t>NÁRODNOSTNÝCH MENŠÍN – NÁRODNOSTNÝCH SPOLOČENSTIEV</w:t>
      </w:r>
    </w:p>
    <w:p w14:paraId="58A9D978" w14:textId="6AD62FBA" w:rsidR="00D925D4" w:rsidRDefault="00D925D4" w:rsidP="00D925D4">
      <w:pPr>
        <w:jc w:val="both"/>
        <w:rPr>
          <w:rFonts w:ascii="Calibri" w:hAnsi="Calibri" w:cs="Calibri"/>
          <w:noProof/>
          <w:sz w:val="20"/>
          <w:szCs w:val="20"/>
          <w:lang w:val="sr-Cyrl-RS"/>
        </w:rPr>
      </w:pPr>
    </w:p>
    <w:p w14:paraId="35F1E7FC" w14:textId="77777777" w:rsidR="005F2EC2" w:rsidRPr="005F2EC2" w:rsidRDefault="005F2EC2" w:rsidP="00D925D4">
      <w:pPr>
        <w:jc w:val="both"/>
        <w:rPr>
          <w:rFonts w:ascii="Calibri" w:hAnsi="Calibri" w:cs="Calibri"/>
          <w:noProof/>
          <w:sz w:val="20"/>
          <w:szCs w:val="20"/>
          <w:lang w:val="sr-Cyrl-RS"/>
        </w:rPr>
      </w:pPr>
    </w:p>
    <w:p w14:paraId="0708B30E" w14:textId="6C79F3D8" w:rsidR="00D925D4" w:rsidRPr="005F2EC2" w:rsidRDefault="00D925D4" w:rsidP="00D925D4">
      <w:pPr>
        <w:jc w:val="both"/>
        <w:rPr>
          <w:rFonts w:ascii="Calibri" w:hAnsi="Calibri" w:cs="Calibri"/>
          <w:noProof/>
          <w:color w:val="FF0000"/>
          <w:sz w:val="20"/>
          <w:szCs w:val="20"/>
        </w:rPr>
      </w:pPr>
      <w:r>
        <w:rPr>
          <w:rFonts w:ascii="Calibri" w:hAnsi="Calibri"/>
          <w:sz w:val="20"/>
          <w:szCs w:val="20"/>
        </w:rPr>
        <w:t>Číslo: 000785223 2026 09427 001 001 000 001</w:t>
      </w:r>
    </w:p>
    <w:p w14:paraId="73C9C71F" w14:textId="2BA1BAD8" w:rsidR="00D925D4" w:rsidRPr="00D0356A" w:rsidRDefault="00D925D4" w:rsidP="00D925D4">
      <w:pPr>
        <w:jc w:val="both"/>
        <w:rPr>
          <w:rFonts w:ascii="Calibri" w:hAnsi="Calibri" w:cs="Calibri"/>
          <w:noProof/>
          <w:sz w:val="20"/>
          <w:szCs w:val="20"/>
        </w:rPr>
      </w:pPr>
      <w:r>
        <w:rPr>
          <w:rFonts w:ascii="Calibri" w:hAnsi="Calibri"/>
          <w:sz w:val="20"/>
          <w:szCs w:val="20"/>
        </w:rPr>
        <w:t>Nový Sad 27. 2. 2026</w:t>
      </w:r>
    </w:p>
    <w:p w14:paraId="1EE8E274" w14:textId="77777777" w:rsidR="00D925D4" w:rsidRPr="005F2EC2" w:rsidRDefault="00D925D4" w:rsidP="00D925D4">
      <w:pPr>
        <w:ind w:left="3600"/>
        <w:jc w:val="both"/>
        <w:rPr>
          <w:rFonts w:ascii="Calibri" w:hAnsi="Calibri" w:cs="Calibri"/>
          <w:noProof/>
          <w:color w:val="FF0000"/>
          <w:sz w:val="20"/>
          <w:szCs w:val="20"/>
        </w:rPr>
      </w:pPr>
      <w:r>
        <w:rPr>
          <w:rFonts w:ascii="Calibri" w:hAnsi="Calibri"/>
          <w:color w:val="FF0000"/>
          <w:sz w:val="20"/>
          <w:szCs w:val="20"/>
        </w:rPr>
        <w:t xml:space="preserve">                               </w:t>
      </w:r>
    </w:p>
    <w:p w14:paraId="67444F16" w14:textId="77777777" w:rsidR="00D925D4" w:rsidRPr="005F2EC2" w:rsidRDefault="00D925D4" w:rsidP="00D925D4">
      <w:pPr>
        <w:ind w:left="3600"/>
        <w:jc w:val="both"/>
        <w:rPr>
          <w:rFonts w:ascii="Calibri" w:hAnsi="Calibri" w:cs="Calibri"/>
          <w:noProof/>
          <w:sz w:val="20"/>
          <w:szCs w:val="20"/>
          <w:lang w:val="sr-Cyrl-RS"/>
        </w:rPr>
      </w:pPr>
    </w:p>
    <w:p w14:paraId="429ADBC1" w14:textId="17F7D3CA" w:rsidR="00D925D4" w:rsidRPr="0003628A" w:rsidRDefault="00D925D4" w:rsidP="00D925D4">
      <w:pPr>
        <w:ind w:left="5016"/>
        <w:jc w:val="both"/>
        <w:rPr>
          <w:rFonts w:ascii="Calibri" w:hAnsi="Calibri" w:cs="Calibri"/>
          <w:noProof/>
          <w:sz w:val="20"/>
          <w:szCs w:val="20"/>
        </w:rPr>
      </w:pPr>
      <w:r>
        <w:rPr>
          <w:rFonts w:ascii="Calibri" w:hAnsi="Calibri"/>
          <w:sz w:val="20"/>
          <w:szCs w:val="20"/>
        </w:rPr>
        <w:t xml:space="preserve">        POKRAJINSKÝ TAJOMNÍK</w:t>
      </w:r>
    </w:p>
    <w:p w14:paraId="30232ED9" w14:textId="45F77C9F" w:rsidR="00D925D4" w:rsidRPr="005F2EC2" w:rsidRDefault="00D925D4" w:rsidP="00CA2A87">
      <w:pPr>
        <w:ind w:left="4956"/>
        <w:rPr>
          <w:rFonts w:ascii="Calibri" w:hAnsi="Calibri" w:cs="Calibri"/>
          <w:noProof/>
          <w:sz w:val="20"/>
          <w:szCs w:val="20"/>
        </w:rPr>
      </w:pPr>
      <w:r>
        <w:rPr>
          <w:rFonts w:ascii="Calibri" w:hAnsi="Calibri"/>
          <w:sz w:val="20"/>
          <w:szCs w:val="20"/>
        </w:rPr>
        <w:t xml:space="preserve">                     Róbert Ótott </w:t>
      </w:r>
    </w:p>
    <w:sectPr w:rsidR="00D925D4" w:rsidRPr="005F2EC2" w:rsidSect="00C86F4E">
      <w:headerReference w:type="even" r:id="rId8"/>
      <w:pgSz w:w="12240" w:h="15840"/>
      <w:pgMar w:top="1135" w:right="1797" w:bottom="1440"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3F0" w14:textId="77777777" w:rsidR="00B420C6" w:rsidRDefault="00B420C6">
      <w:r>
        <w:separator/>
      </w:r>
    </w:p>
  </w:endnote>
  <w:endnote w:type="continuationSeparator" w:id="0">
    <w:p w14:paraId="040B8853" w14:textId="77777777" w:rsidR="00B420C6" w:rsidRDefault="00B4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91850" w14:textId="77777777" w:rsidR="00B420C6" w:rsidRDefault="00B420C6">
      <w:r>
        <w:separator/>
      </w:r>
    </w:p>
  </w:footnote>
  <w:footnote w:type="continuationSeparator" w:id="0">
    <w:p w14:paraId="330F207E" w14:textId="77777777" w:rsidR="00B420C6" w:rsidRDefault="00B4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2C97" w14:textId="77777777" w:rsidR="00BC72A8" w:rsidRDefault="0095386C" w:rsidP="00636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86E1" w14:textId="77777777" w:rsidR="00BC72A8" w:rsidRDefault="00B42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C7D"/>
    <w:multiLevelType w:val="hybridMultilevel"/>
    <w:tmpl w:val="382C4728"/>
    <w:lvl w:ilvl="0" w:tplc="A1DAB14C">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97033B"/>
    <w:multiLevelType w:val="hybridMultilevel"/>
    <w:tmpl w:val="2430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E3B6554"/>
    <w:multiLevelType w:val="hybridMultilevel"/>
    <w:tmpl w:val="518273BA"/>
    <w:lvl w:ilvl="0" w:tplc="68944E90">
      <w:numFmt w:val="bullet"/>
      <w:lvlText w:val="-"/>
      <w:lvlJc w:val="left"/>
      <w:pPr>
        <w:tabs>
          <w:tab w:val="num" w:pos="735"/>
        </w:tabs>
        <w:ind w:left="735" w:hanging="360"/>
      </w:pPr>
      <w:rPr>
        <w:rFonts w:ascii="Verdana" w:eastAsia="Times New Roman" w:hAnsi="Verdana"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4"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462036"/>
    <w:multiLevelType w:val="hybridMultilevel"/>
    <w:tmpl w:val="339A091C"/>
    <w:lvl w:ilvl="0" w:tplc="04090011">
      <w:start w:val="1"/>
      <w:numFmt w:val="decimal"/>
      <w:lvlText w:val="%1)"/>
      <w:lvlJc w:val="left"/>
      <w:pPr>
        <w:tabs>
          <w:tab w:val="num" w:pos="1070"/>
        </w:tabs>
        <w:ind w:left="1070" w:hanging="360"/>
      </w:pPr>
      <w:rPr>
        <w:rFonts w:hint="default"/>
        <w:color w:val="000000"/>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15:restartNumberingAfterBreak="0">
    <w:nsid w:val="36F64033"/>
    <w:multiLevelType w:val="hybridMultilevel"/>
    <w:tmpl w:val="672205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7F61553"/>
    <w:multiLevelType w:val="hybridMultilevel"/>
    <w:tmpl w:val="600AC0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3F75C1"/>
    <w:multiLevelType w:val="hybridMultilevel"/>
    <w:tmpl w:val="7E6A34AA"/>
    <w:lvl w:ilvl="0" w:tplc="A1DAB14C">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807F4"/>
    <w:multiLevelType w:val="hybridMultilevel"/>
    <w:tmpl w:val="B4A0E280"/>
    <w:lvl w:ilvl="0" w:tplc="68944E90">
      <w:numFmt w:val="bullet"/>
      <w:lvlText w:val="-"/>
      <w:lvlJc w:val="left"/>
      <w:pPr>
        <w:ind w:left="1095" w:hanging="360"/>
      </w:pPr>
      <w:rPr>
        <w:rFonts w:ascii="Verdana" w:eastAsia="Times New Roman" w:hAnsi="Verdana" w:cs="Times New Roman"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4A137772"/>
    <w:multiLevelType w:val="hybridMultilevel"/>
    <w:tmpl w:val="91062A10"/>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11" w15:restartNumberingAfterBreak="0">
    <w:nsid w:val="4E6702C7"/>
    <w:multiLevelType w:val="hybridMultilevel"/>
    <w:tmpl w:val="937C7710"/>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BBA4487"/>
    <w:multiLevelType w:val="hybridMultilevel"/>
    <w:tmpl w:val="450EB6CE"/>
    <w:lvl w:ilvl="0" w:tplc="68944E90">
      <w:numFmt w:val="bullet"/>
      <w:lvlText w:val="-"/>
      <w:lvlJc w:val="left"/>
      <w:pPr>
        <w:ind w:left="1146" w:hanging="360"/>
      </w:pPr>
      <w:rPr>
        <w:rFonts w:ascii="Verdana" w:eastAsia="Times New Roman" w:hAnsi="Verdana"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87B7A42"/>
    <w:multiLevelType w:val="hybridMultilevel"/>
    <w:tmpl w:val="F6E0B3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7"/>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12"/>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6"/>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3E"/>
    <w:rsid w:val="00003E4E"/>
    <w:rsid w:val="000320F4"/>
    <w:rsid w:val="0003628A"/>
    <w:rsid w:val="00096E46"/>
    <w:rsid w:val="000A66CF"/>
    <w:rsid w:val="000B493D"/>
    <w:rsid w:val="000B5B77"/>
    <w:rsid w:val="000D0415"/>
    <w:rsid w:val="000D7666"/>
    <w:rsid w:val="000F7F84"/>
    <w:rsid w:val="00124B6A"/>
    <w:rsid w:val="00143EA5"/>
    <w:rsid w:val="00170CB0"/>
    <w:rsid w:val="001728E0"/>
    <w:rsid w:val="00173171"/>
    <w:rsid w:val="001B7129"/>
    <w:rsid w:val="001C7FFA"/>
    <w:rsid w:val="001D4E5F"/>
    <w:rsid w:val="001E2B76"/>
    <w:rsid w:val="00201421"/>
    <w:rsid w:val="0020530F"/>
    <w:rsid w:val="00217379"/>
    <w:rsid w:val="00273045"/>
    <w:rsid w:val="0027506C"/>
    <w:rsid w:val="002757F5"/>
    <w:rsid w:val="00275CC0"/>
    <w:rsid w:val="00275D95"/>
    <w:rsid w:val="002A2E71"/>
    <w:rsid w:val="002B145C"/>
    <w:rsid w:val="002C7277"/>
    <w:rsid w:val="002D351C"/>
    <w:rsid w:val="002F06E6"/>
    <w:rsid w:val="002F33CF"/>
    <w:rsid w:val="00314280"/>
    <w:rsid w:val="00317736"/>
    <w:rsid w:val="003252AC"/>
    <w:rsid w:val="0034157F"/>
    <w:rsid w:val="00360F3C"/>
    <w:rsid w:val="003C27B1"/>
    <w:rsid w:val="003C71A0"/>
    <w:rsid w:val="003E5E87"/>
    <w:rsid w:val="004419E1"/>
    <w:rsid w:val="004469B5"/>
    <w:rsid w:val="004477E8"/>
    <w:rsid w:val="00452D19"/>
    <w:rsid w:val="004760AF"/>
    <w:rsid w:val="00484E4E"/>
    <w:rsid w:val="004A06C9"/>
    <w:rsid w:val="004A6169"/>
    <w:rsid w:val="004A7C6F"/>
    <w:rsid w:val="004B0211"/>
    <w:rsid w:val="004E63AF"/>
    <w:rsid w:val="004E72DF"/>
    <w:rsid w:val="004F431E"/>
    <w:rsid w:val="00513474"/>
    <w:rsid w:val="00536D11"/>
    <w:rsid w:val="0054698C"/>
    <w:rsid w:val="00561F7F"/>
    <w:rsid w:val="00585B73"/>
    <w:rsid w:val="005E2AD0"/>
    <w:rsid w:val="005F2EC2"/>
    <w:rsid w:val="005F72C5"/>
    <w:rsid w:val="006115BA"/>
    <w:rsid w:val="006121A4"/>
    <w:rsid w:val="00650488"/>
    <w:rsid w:val="00665B9B"/>
    <w:rsid w:val="00673BE8"/>
    <w:rsid w:val="00687686"/>
    <w:rsid w:val="006C6FEF"/>
    <w:rsid w:val="006E2654"/>
    <w:rsid w:val="006E27D0"/>
    <w:rsid w:val="00715FAD"/>
    <w:rsid w:val="007819FC"/>
    <w:rsid w:val="00785030"/>
    <w:rsid w:val="007B2103"/>
    <w:rsid w:val="007B6662"/>
    <w:rsid w:val="007D06A6"/>
    <w:rsid w:val="00864595"/>
    <w:rsid w:val="00870A9F"/>
    <w:rsid w:val="0089754E"/>
    <w:rsid w:val="008A2BAD"/>
    <w:rsid w:val="008B4E09"/>
    <w:rsid w:val="008C541C"/>
    <w:rsid w:val="008D1FCA"/>
    <w:rsid w:val="008D562A"/>
    <w:rsid w:val="00905BC0"/>
    <w:rsid w:val="0095386C"/>
    <w:rsid w:val="009570F1"/>
    <w:rsid w:val="00973821"/>
    <w:rsid w:val="009856F4"/>
    <w:rsid w:val="009B3F7B"/>
    <w:rsid w:val="009C5750"/>
    <w:rsid w:val="009D6857"/>
    <w:rsid w:val="009F6296"/>
    <w:rsid w:val="009F69EC"/>
    <w:rsid w:val="00A002FC"/>
    <w:rsid w:val="00A4346A"/>
    <w:rsid w:val="00A44A90"/>
    <w:rsid w:val="00A45C52"/>
    <w:rsid w:val="00A5277C"/>
    <w:rsid w:val="00A549CE"/>
    <w:rsid w:val="00A60843"/>
    <w:rsid w:val="00A71526"/>
    <w:rsid w:val="00A7622C"/>
    <w:rsid w:val="00A81D41"/>
    <w:rsid w:val="00A82CE7"/>
    <w:rsid w:val="00A8660E"/>
    <w:rsid w:val="00AA38D0"/>
    <w:rsid w:val="00AC47D9"/>
    <w:rsid w:val="00AD27D2"/>
    <w:rsid w:val="00AE1582"/>
    <w:rsid w:val="00AE3848"/>
    <w:rsid w:val="00B03E10"/>
    <w:rsid w:val="00B11C8A"/>
    <w:rsid w:val="00B14A8A"/>
    <w:rsid w:val="00B26397"/>
    <w:rsid w:val="00B3317B"/>
    <w:rsid w:val="00B35B76"/>
    <w:rsid w:val="00B420C6"/>
    <w:rsid w:val="00B5158F"/>
    <w:rsid w:val="00B574B7"/>
    <w:rsid w:val="00B9433E"/>
    <w:rsid w:val="00BA3BA9"/>
    <w:rsid w:val="00BB2BD1"/>
    <w:rsid w:val="00BB7D90"/>
    <w:rsid w:val="00BC5B5A"/>
    <w:rsid w:val="00BD19E7"/>
    <w:rsid w:val="00BE3CFE"/>
    <w:rsid w:val="00C16B05"/>
    <w:rsid w:val="00C24584"/>
    <w:rsid w:val="00C33CEB"/>
    <w:rsid w:val="00C45C09"/>
    <w:rsid w:val="00C52C83"/>
    <w:rsid w:val="00C7089A"/>
    <w:rsid w:val="00C75A91"/>
    <w:rsid w:val="00CA2A87"/>
    <w:rsid w:val="00CF0B3E"/>
    <w:rsid w:val="00CF27A6"/>
    <w:rsid w:val="00D033F6"/>
    <w:rsid w:val="00D0356A"/>
    <w:rsid w:val="00D145AE"/>
    <w:rsid w:val="00D4397C"/>
    <w:rsid w:val="00D47DD6"/>
    <w:rsid w:val="00D542B2"/>
    <w:rsid w:val="00D57CF8"/>
    <w:rsid w:val="00D61E68"/>
    <w:rsid w:val="00D81617"/>
    <w:rsid w:val="00D925D4"/>
    <w:rsid w:val="00D953D0"/>
    <w:rsid w:val="00DC270E"/>
    <w:rsid w:val="00DD3CA3"/>
    <w:rsid w:val="00DE0077"/>
    <w:rsid w:val="00E63A84"/>
    <w:rsid w:val="00E7178C"/>
    <w:rsid w:val="00EA6EA0"/>
    <w:rsid w:val="00EB248B"/>
    <w:rsid w:val="00EC7789"/>
    <w:rsid w:val="00F00B2A"/>
    <w:rsid w:val="00F05733"/>
    <w:rsid w:val="00F06612"/>
    <w:rsid w:val="00F20308"/>
    <w:rsid w:val="00F53B9A"/>
    <w:rsid w:val="00F56E24"/>
    <w:rsid w:val="00F56FAF"/>
    <w:rsid w:val="00F5773C"/>
    <w:rsid w:val="00F6208C"/>
    <w:rsid w:val="00F70204"/>
    <w:rsid w:val="00F72D19"/>
    <w:rsid w:val="00F77996"/>
    <w:rsid w:val="00F91BB6"/>
    <w:rsid w:val="00FA1416"/>
    <w:rsid w:val="00FB1F28"/>
    <w:rsid w:val="00FE0C4B"/>
    <w:rsid w:val="00FF7E7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968E"/>
  <w15:docId w15:val="{9C063B65-ECFF-4387-AC7D-E6116635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3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433E"/>
    <w:pPr>
      <w:jc w:val="both"/>
    </w:pPr>
  </w:style>
  <w:style w:type="character" w:customStyle="1" w:styleId="BodyTextChar">
    <w:name w:val="Body Text Char"/>
    <w:basedOn w:val="DefaultParagraphFont"/>
    <w:link w:val="BodyText"/>
    <w:rsid w:val="00B9433E"/>
    <w:rPr>
      <w:rFonts w:ascii="Times New Roman" w:eastAsia="Times New Roman" w:hAnsi="Times New Roman" w:cs="Times New Roman"/>
      <w:sz w:val="24"/>
      <w:szCs w:val="24"/>
      <w:lang w:val="sk-SK"/>
    </w:rPr>
  </w:style>
  <w:style w:type="paragraph" w:styleId="Header">
    <w:name w:val="header"/>
    <w:basedOn w:val="Normal"/>
    <w:link w:val="HeaderChar"/>
    <w:rsid w:val="00B9433E"/>
    <w:pPr>
      <w:tabs>
        <w:tab w:val="center" w:pos="4320"/>
        <w:tab w:val="right" w:pos="8640"/>
      </w:tabs>
    </w:pPr>
  </w:style>
  <w:style w:type="character" w:customStyle="1" w:styleId="HeaderChar">
    <w:name w:val="Header Char"/>
    <w:basedOn w:val="DefaultParagraphFont"/>
    <w:link w:val="Header"/>
    <w:rsid w:val="00B9433E"/>
    <w:rPr>
      <w:rFonts w:ascii="Times New Roman" w:eastAsia="Times New Roman" w:hAnsi="Times New Roman" w:cs="Times New Roman"/>
      <w:sz w:val="24"/>
      <w:szCs w:val="24"/>
      <w:lang w:val="sk-SK"/>
    </w:rPr>
  </w:style>
  <w:style w:type="character" w:styleId="PageNumber">
    <w:name w:val="page number"/>
    <w:basedOn w:val="DefaultParagraphFont"/>
    <w:rsid w:val="00B9433E"/>
  </w:style>
  <w:style w:type="paragraph" w:customStyle="1" w:styleId="stil1tekst">
    <w:name w:val="stil_1tekst"/>
    <w:basedOn w:val="Normal"/>
    <w:rsid w:val="00B9433E"/>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B9433E"/>
    <w:rPr>
      <w:sz w:val="16"/>
      <w:szCs w:val="16"/>
    </w:rPr>
  </w:style>
  <w:style w:type="paragraph" w:styleId="CommentText">
    <w:name w:val="annotation text"/>
    <w:basedOn w:val="Normal"/>
    <w:link w:val="CommentTextChar"/>
    <w:uiPriority w:val="99"/>
    <w:semiHidden/>
    <w:unhideWhenUsed/>
    <w:rsid w:val="00B9433E"/>
    <w:rPr>
      <w:sz w:val="20"/>
      <w:szCs w:val="20"/>
    </w:rPr>
  </w:style>
  <w:style w:type="character" w:customStyle="1" w:styleId="CommentTextChar">
    <w:name w:val="Comment Text Char"/>
    <w:basedOn w:val="DefaultParagraphFont"/>
    <w:link w:val="CommentText"/>
    <w:uiPriority w:val="99"/>
    <w:semiHidden/>
    <w:rsid w:val="00B9433E"/>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B9433E"/>
    <w:rPr>
      <w:b/>
      <w:bCs/>
    </w:rPr>
  </w:style>
  <w:style w:type="character" w:customStyle="1" w:styleId="CommentSubjectChar">
    <w:name w:val="Comment Subject Char"/>
    <w:basedOn w:val="CommentTextChar"/>
    <w:link w:val="CommentSubject"/>
    <w:uiPriority w:val="99"/>
    <w:semiHidden/>
    <w:rsid w:val="00B9433E"/>
    <w:rPr>
      <w:rFonts w:ascii="Times New Roman" w:eastAsia="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B9433E"/>
    <w:rPr>
      <w:rFonts w:ascii="Tahoma" w:hAnsi="Tahoma" w:cs="Tahoma"/>
      <w:sz w:val="16"/>
      <w:szCs w:val="16"/>
    </w:rPr>
  </w:style>
  <w:style w:type="character" w:customStyle="1" w:styleId="BalloonTextChar">
    <w:name w:val="Balloon Text Char"/>
    <w:basedOn w:val="DefaultParagraphFont"/>
    <w:link w:val="BalloonText"/>
    <w:uiPriority w:val="99"/>
    <w:semiHidden/>
    <w:rsid w:val="00B9433E"/>
    <w:rPr>
      <w:rFonts w:ascii="Tahoma" w:eastAsia="Times New Roman" w:hAnsi="Tahoma" w:cs="Tahoma"/>
      <w:sz w:val="16"/>
      <w:szCs w:val="16"/>
      <w:lang w:val="sk-SK"/>
    </w:rPr>
  </w:style>
  <w:style w:type="paragraph" w:customStyle="1" w:styleId="xmsonormal">
    <w:name w:val="x_msonormal"/>
    <w:basedOn w:val="Normal"/>
    <w:rsid w:val="000B5B77"/>
    <w:pPr>
      <w:spacing w:before="100" w:beforeAutospacing="1" w:after="100" w:afterAutospacing="1"/>
    </w:pPr>
    <w:rPr>
      <w:rFonts w:eastAsiaTheme="minorHAnsi"/>
      <w:lang w:eastAsia="en-GB"/>
    </w:rPr>
  </w:style>
  <w:style w:type="paragraph" w:customStyle="1" w:styleId="Normal1">
    <w:name w:val="Normal1"/>
    <w:basedOn w:val="Normal"/>
    <w:rsid w:val="009C5750"/>
    <w:pPr>
      <w:spacing w:before="100" w:beforeAutospacing="1" w:after="100" w:afterAutospacing="1"/>
    </w:pPr>
    <w:rPr>
      <w:rFonts w:ascii="Arial" w:hAnsi="Arial" w:cs="Arial"/>
      <w:sz w:val="22"/>
      <w:szCs w:val="22"/>
      <w:lang w:eastAsia="sr-Cyrl-RS"/>
    </w:rPr>
  </w:style>
  <w:style w:type="paragraph" w:styleId="ListParagraph">
    <w:name w:val="List Paragraph"/>
    <w:basedOn w:val="Normal"/>
    <w:uiPriority w:val="34"/>
    <w:qFormat/>
    <w:rsid w:val="00905BC0"/>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BB7D90"/>
    <w:pPr>
      <w:tabs>
        <w:tab w:val="center" w:pos="4680"/>
        <w:tab w:val="right" w:pos="9360"/>
      </w:tabs>
    </w:pPr>
  </w:style>
  <w:style w:type="character" w:customStyle="1" w:styleId="FooterChar">
    <w:name w:val="Footer Char"/>
    <w:basedOn w:val="DefaultParagraphFont"/>
    <w:link w:val="Footer"/>
    <w:uiPriority w:val="99"/>
    <w:rsid w:val="00BB7D90"/>
    <w:rPr>
      <w:rFonts w:ascii="Times New Roman" w:eastAsia="Times New Roman" w:hAnsi="Times New Roman" w:cs="Times New Roman"/>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1335">
      <w:bodyDiv w:val="1"/>
      <w:marLeft w:val="0"/>
      <w:marRight w:val="0"/>
      <w:marTop w:val="0"/>
      <w:marBottom w:val="0"/>
      <w:divBdr>
        <w:top w:val="none" w:sz="0" w:space="0" w:color="auto"/>
        <w:left w:val="none" w:sz="0" w:space="0" w:color="auto"/>
        <w:bottom w:val="none" w:sz="0" w:space="0" w:color="auto"/>
        <w:right w:val="none" w:sz="0" w:space="0" w:color="auto"/>
      </w:divBdr>
    </w:div>
    <w:div w:id="179008682">
      <w:bodyDiv w:val="1"/>
      <w:marLeft w:val="0"/>
      <w:marRight w:val="0"/>
      <w:marTop w:val="0"/>
      <w:marBottom w:val="0"/>
      <w:divBdr>
        <w:top w:val="none" w:sz="0" w:space="0" w:color="auto"/>
        <w:left w:val="none" w:sz="0" w:space="0" w:color="auto"/>
        <w:bottom w:val="none" w:sz="0" w:space="0" w:color="auto"/>
        <w:right w:val="none" w:sz="0" w:space="0" w:color="auto"/>
      </w:divBdr>
    </w:div>
    <w:div w:id="271743984">
      <w:bodyDiv w:val="1"/>
      <w:marLeft w:val="0"/>
      <w:marRight w:val="0"/>
      <w:marTop w:val="0"/>
      <w:marBottom w:val="0"/>
      <w:divBdr>
        <w:top w:val="none" w:sz="0" w:space="0" w:color="auto"/>
        <w:left w:val="none" w:sz="0" w:space="0" w:color="auto"/>
        <w:bottom w:val="none" w:sz="0" w:space="0" w:color="auto"/>
        <w:right w:val="none" w:sz="0" w:space="0" w:color="auto"/>
      </w:divBdr>
    </w:div>
    <w:div w:id="291207855">
      <w:bodyDiv w:val="1"/>
      <w:marLeft w:val="0"/>
      <w:marRight w:val="0"/>
      <w:marTop w:val="0"/>
      <w:marBottom w:val="0"/>
      <w:divBdr>
        <w:top w:val="none" w:sz="0" w:space="0" w:color="auto"/>
        <w:left w:val="none" w:sz="0" w:space="0" w:color="auto"/>
        <w:bottom w:val="none" w:sz="0" w:space="0" w:color="auto"/>
        <w:right w:val="none" w:sz="0" w:space="0" w:color="auto"/>
      </w:divBdr>
    </w:div>
    <w:div w:id="361054528">
      <w:bodyDiv w:val="1"/>
      <w:marLeft w:val="0"/>
      <w:marRight w:val="0"/>
      <w:marTop w:val="0"/>
      <w:marBottom w:val="0"/>
      <w:divBdr>
        <w:top w:val="none" w:sz="0" w:space="0" w:color="auto"/>
        <w:left w:val="none" w:sz="0" w:space="0" w:color="auto"/>
        <w:bottom w:val="none" w:sz="0" w:space="0" w:color="auto"/>
        <w:right w:val="none" w:sz="0" w:space="0" w:color="auto"/>
      </w:divBdr>
    </w:div>
    <w:div w:id="381713519">
      <w:bodyDiv w:val="1"/>
      <w:marLeft w:val="0"/>
      <w:marRight w:val="0"/>
      <w:marTop w:val="0"/>
      <w:marBottom w:val="0"/>
      <w:divBdr>
        <w:top w:val="none" w:sz="0" w:space="0" w:color="auto"/>
        <w:left w:val="none" w:sz="0" w:space="0" w:color="auto"/>
        <w:bottom w:val="none" w:sz="0" w:space="0" w:color="auto"/>
        <w:right w:val="none" w:sz="0" w:space="0" w:color="auto"/>
      </w:divBdr>
    </w:div>
    <w:div w:id="384841447">
      <w:bodyDiv w:val="1"/>
      <w:marLeft w:val="0"/>
      <w:marRight w:val="0"/>
      <w:marTop w:val="0"/>
      <w:marBottom w:val="0"/>
      <w:divBdr>
        <w:top w:val="none" w:sz="0" w:space="0" w:color="auto"/>
        <w:left w:val="none" w:sz="0" w:space="0" w:color="auto"/>
        <w:bottom w:val="none" w:sz="0" w:space="0" w:color="auto"/>
        <w:right w:val="none" w:sz="0" w:space="0" w:color="auto"/>
      </w:divBdr>
    </w:div>
    <w:div w:id="400294859">
      <w:bodyDiv w:val="1"/>
      <w:marLeft w:val="0"/>
      <w:marRight w:val="0"/>
      <w:marTop w:val="0"/>
      <w:marBottom w:val="0"/>
      <w:divBdr>
        <w:top w:val="none" w:sz="0" w:space="0" w:color="auto"/>
        <w:left w:val="none" w:sz="0" w:space="0" w:color="auto"/>
        <w:bottom w:val="none" w:sz="0" w:space="0" w:color="auto"/>
        <w:right w:val="none" w:sz="0" w:space="0" w:color="auto"/>
      </w:divBdr>
    </w:div>
    <w:div w:id="740055943">
      <w:bodyDiv w:val="1"/>
      <w:marLeft w:val="0"/>
      <w:marRight w:val="0"/>
      <w:marTop w:val="0"/>
      <w:marBottom w:val="0"/>
      <w:divBdr>
        <w:top w:val="none" w:sz="0" w:space="0" w:color="auto"/>
        <w:left w:val="none" w:sz="0" w:space="0" w:color="auto"/>
        <w:bottom w:val="none" w:sz="0" w:space="0" w:color="auto"/>
        <w:right w:val="none" w:sz="0" w:space="0" w:color="auto"/>
      </w:divBdr>
    </w:div>
    <w:div w:id="841554678">
      <w:bodyDiv w:val="1"/>
      <w:marLeft w:val="0"/>
      <w:marRight w:val="0"/>
      <w:marTop w:val="0"/>
      <w:marBottom w:val="0"/>
      <w:divBdr>
        <w:top w:val="none" w:sz="0" w:space="0" w:color="auto"/>
        <w:left w:val="none" w:sz="0" w:space="0" w:color="auto"/>
        <w:bottom w:val="none" w:sz="0" w:space="0" w:color="auto"/>
        <w:right w:val="none" w:sz="0" w:space="0" w:color="auto"/>
      </w:divBdr>
    </w:div>
    <w:div w:id="1075280869">
      <w:bodyDiv w:val="1"/>
      <w:marLeft w:val="0"/>
      <w:marRight w:val="0"/>
      <w:marTop w:val="0"/>
      <w:marBottom w:val="0"/>
      <w:divBdr>
        <w:top w:val="none" w:sz="0" w:space="0" w:color="auto"/>
        <w:left w:val="none" w:sz="0" w:space="0" w:color="auto"/>
        <w:bottom w:val="none" w:sz="0" w:space="0" w:color="auto"/>
        <w:right w:val="none" w:sz="0" w:space="0" w:color="auto"/>
      </w:divBdr>
    </w:div>
    <w:div w:id="1159539174">
      <w:bodyDiv w:val="1"/>
      <w:marLeft w:val="0"/>
      <w:marRight w:val="0"/>
      <w:marTop w:val="0"/>
      <w:marBottom w:val="0"/>
      <w:divBdr>
        <w:top w:val="none" w:sz="0" w:space="0" w:color="auto"/>
        <w:left w:val="none" w:sz="0" w:space="0" w:color="auto"/>
        <w:bottom w:val="none" w:sz="0" w:space="0" w:color="auto"/>
        <w:right w:val="none" w:sz="0" w:space="0" w:color="auto"/>
      </w:divBdr>
    </w:div>
    <w:div w:id="1193106257">
      <w:bodyDiv w:val="1"/>
      <w:marLeft w:val="0"/>
      <w:marRight w:val="0"/>
      <w:marTop w:val="0"/>
      <w:marBottom w:val="0"/>
      <w:divBdr>
        <w:top w:val="none" w:sz="0" w:space="0" w:color="auto"/>
        <w:left w:val="none" w:sz="0" w:space="0" w:color="auto"/>
        <w:bottom w:val="none" w:sz="0" w:space="0" w:color="auto"/>
        <w:right w:val="none" w:sz="0" w:space="0" w:color="auto"/>
      </w:divBdr>
    </w:div>
    <w:div w:id="1358120991">
      <w:bodyDiv w:val="1"/>
      <w:marLeft w:val="0"/>
      <w:marRight w:val="0"/>
      <w:marTop w:val="0"/>
      <w:marBottom w:val="0"/>
      <w:divBdr>
        <w:top w:val="none" w:sz="0" w:space="0" w:color="auto"/>
        <w:left w:val="none" w:sz="0" w:space="0" w:color="auto"/>
        <w:bottom w:val="none" w:sz="0" w:space="0" w:color="auto"/>
        <w:right w:val="none" w:sz="0" w:space="0" w:color="auto"/>
      </w:divBdr>
    </w:div>
    <w:div w:id="1375737351">
      <w:bodyDiv w:val="1"/>
      <w:marLeft w:val="0"/>
      <w:marRight w:val="0"/>
      <w:marTop w:val="0"/>
      <w:marBottom w:val="0"/>
      <w:divBdr>
        <w:top w:val="none" w:sz="0" w:space="0" w:color="auto"/>
        <w:left w:val="none" w:sz="0" w:space="0" w:color="auto"/>
        <w:bottom w:val="none" w:sz="0" w:space="0" w:color="auto"/>
        <w:right w:val="none" w:sz="0" w:space="0" w:color="auto"/>
      </w:divBdr>
    </w:div>
    <w:div w:id="1390959471">
      <w:bodyDiv w:val="1"/>
      <w:marLeft w:val="0"/>
      <w:marRight w:val="0"/>
      <w:marTop w:val="0"/>
      <w:marBottom w:val="0"/>
      <w:divBdr>
        <w:top w:val="none" w:sz="0" w:space="0" w:color="auto"/>
        <w:left w:val="none" w:sz="0" w:space="0" w:color="auto"/>
        <w:bottom w:val="none" w:sz="0" w:space="0" w:color="auto"/>
        <w:right w:val="none" w:sz="0" w:space="0" w:color="auto"/>
      </w:divBdr>
    </w:div>
    <w:div w:id="1480538879">
      <w:bodyDiv w:val="1"/>
      <w:marLeft w:val="0"/>
      <w:marRight w:val="0"/>
      <w:marTop w:val="0"/>
      <w:marBottom w:val="0"/>
      <w:divBdr>
        <w:top w:val="none" w:sz="0" w:space="0" w:color="auto"/>
        <w:left w:val="none" w:sz="0" w:space="0" w:color="auto"/>
        <w:bottom w:val="none" w:sz="0" w:space="0" w:color="auto"/>
        <w:right w:val="none" w:sz="0" w:space="0" w:color="auto"/>
      </w:divBdr>
    </w:div>
    <w:div w:id="1621719797">
      <w:bodyDiv w:val="1"/>
      <w:marLeft w:val="0"/>
      <w:marRight w:val="0"/>
      <w:marTop w:val="0"/>
      <w:marBottom w:val="0"/>
      <w:divBdr>
        <w:top w:val="none" w:sz="0" w:space="0" w:color="auto"/>
        <w:left w:val="none" w:sz="0" w:space="0" w:color="auto"/>
        <w:bottom w:val="none" w:sz="0" w:space="0" w:color="auto"/>
        <w:right w:val="none" w:sz="0" w:space="0" w:color="auto"/>
      </w:divBdr>
    </w:div>
    <w:div w:id="1730151804">
      <w:bodyDiv w:val="1"/>
      <w:marLeft w:val="0"/>
      <w:marRight w:val="0"/>
      <w:marTop w:val="0"/>
      <w:marBottom w:val="0"/>
      <w:divBdr>
        <w:top w:val="none" w:sz="0" w:space="0" w:color="auto"/>
        <w:left w:val="none" w:sz="0" w:space="0" w:color="auto"/>
        <w:bottom w:val="none" w:sz="0" w:space="0" w:color="auto"/>
        <w:right w:val="none" w:sz="0" w:space="0" w:color="auto"/>
      </w:divBdr>
    </w:div>
    <w:div w:id="1844971998">
      <w:bodyDiv w:val="1"/>
      <w:marLeft w:val="0"/>
      <w:marRight w:val="0"/>
      <w:marTop w:val="0"/>
      <w:marBottom w:val="0"/>
      <w:divBdr>
        <w:top w:val="none" w:sz="0" w:space="0" w:color="auto"/>
        <w:left w:val="none" w:sz="0" w:space="0" w:color="auto"/>
        <w:bottom w:val="none" w:sz="0" w:space="0" w:color="auto"/>
        <w:right w:val="none" w:sz="0" w:space="0" w:color="auto"/>
      </w:divBdr>
    </w:div>
    <w:div w:id="1878082849">
      <w:bodyDiv w:val="1"/>
      <w:marLeft w:val="0"/>
      <w:marRight w:val="0"/>
      <w:marTop w:val="0"/>
      <w:marBottom w:val="0"/>
      <w:divBdr>
        <w:top w:val="none" w:sz="0" w:space="0" w:color="auto"/>
        <w:left w:val="none" w:sz="0" w:space="0" w:color="auto"/>
        <w:bottom w:val="none" w:sz="0" w:space="0" w:color="auto"/>
        <w:right w:val="none" w:sz="0" w:space="0" w:color="auto"/>
      </w:divBdr>
    </w:div>
    <w:div w:id="213609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08254-6854-45EE-9781-D17DDBCB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Gagic</dc:creator>
  <cp:lastModifiedBy>Jan Nvota</cp:lastModifiedBy>
  <cp:revision>7</cp:revision>
  <cp:lastPrinted>2025-02-03T11:45:00Z</cp:lastPrinted>
  <dcterms:created xsi:type="dcterms:W3CDTF">2026-03-03T06:58:00Z</dcterms:created>
  <dcterms:modified xsi:type="dcterms:W3CDTF">2026-03-03T08:31:00Z</dcterms:modified>
</cp:coreProperties>
</file>