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5000" w:type="pct"/>
        <w:tblLook w:val="0000" w:firstRow="0" w:lastRow="0" w:firstColumn="0" w:lastColumn="0" w:noHBand="0" w:noVBand="0"/>
      </w:tblPr>
      <w:tblGrid>
        <w:gridCol w:w="2499"/>
        <w:gridCol w:w="5371"/>
        <w:gridCol w:w="3236"/>
      </w:tblGrid>
      <w:tr w:rsidR="001851D0" w:rsidRPr="0084091B" w:rsidTr="006E7D3B">
        <w:trPr>
          <w:trHeight w:val="1975"/>
        </w:trPr>
        <w:tc>
          <w:tcPr>
            <w:tcW w:w="1125" w:type="pct"/>
          </w:tcPr>
          <w:p w:rsidR="00A76DC6" w:rsidRPr="0084091B" w:rsidRDefault="003815E3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ajorHAnsi" w:eastAsia="Calibri" w:hAnsiTheme="majorHAnsi" w:cstheme="majorHAnsi"/>
                <w:color w:val="0D0D0D" w:themeColor="text1" w:themeTint="F2"/>
              </w:rPr>
            </w:pPr>
            <w:r w:rsidRPr="0084091B">
              <w:rPr>
                <w:rFonts w:asciiTheme="majorHAnsi" w:hAnsiTheme="majorHAnsi" w:cstheme="majorHAnsi"/>
                <w:noProof/>
                <w:color w:val="0D0D0D" w:themeColor="text1" w:themeTint="F2"/>
                <w:lang w:val="en-US"/>
              </w:rPr>
              <w:drawing>
                <wp:inline distT="0" distB="0" distL="114300" distR="114300" wp14:anchorId="7F308113" wp14:editId="02D4C35F">
                  <wp:extent cx="1489710" cy="965200"/>
                  <wp:effectExtent l="0" t="0" r="0" b="0"/>
                  <wp:docPr id="1" name="image1.png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ГРБОВИ ЗА МЕМОРАНДУМ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965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5" w:type="pct"/>
            <w:gridSpan w:val="2"/>
          </w:tcPr>
          <w:p w:rsidR="00A76DC6" w:rsidRPr="0084091B" w:rsidRDefault="00A76DC6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</w:p>
          <w:p w:rsidR="00A76DC6" w:rsidRPr="0084091B" w:rsidRDefault="00A76DC6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</w:p>
          <w:p w:rsidR="00A76DC6" w:rsidRPr="0084091B" w:rsidRDefault="003815E3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0"/>
                <w:szCs w:val="20"/>
              </w:rPr>
              <w:t>Република Сербия</w:t>
            </w:r>
          </w:p>
          <w:p w:rsidR="00A76DC6" w:rsidRPr="0084091B" w:rsidRDefault="003815E3">
            <w:pPr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0"/>
                <w:szCs w:val="20"/>
              </w:rPr>
              <w:t>Автономна покраїна Войводина</w:t>
            </w:r>
          </w:p>
          <w:p w:rsidR="00A76DC6" w:rsidRPr="0084091B" w:rsidRDefault="003815E3">
            <w:pPr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84091B">
              <w:rPr>
                <w:rFonts w:asciiTheme="majorHAnsi" w:hAnsiTheme="majorHAnsi" w:cstheme="majorHAnsi"/>
                <w:b/>
                <w:color w:val="0D0D0D" w:themeColor="text1" w:themeTint="F2"/>
                <w:sz w:val="20"/>
                <w:szCs w:val="20"/>
              </w:rPr>
              <w:t>Покраїнски секретарият за образованє, предписаня,</w:t>
            </w:r>
          </w:p>
          <w:p w:rsidR="00A76DC6" w:rsidRPr="0084091B" w:rsidRDefault="003815E3">
            <w:pPr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84091B">
              <w:rPr>
                <w:rFonts w:asciiTheme="majorHAnsi" w:hAnsiTheme="majorHAnsi" w:cstheme="majorHAnsi"/>
                <w:b/>
                <w:color w:val="0D0D0D" w:themeColor="text1" w:themeTint="F2"/>
                <w:sz w:val="20"/>
                <w:szCs w:val="20"/>
              </w:rPr>
              <w:t>управу и национални меншини – национални заєднїци</w:t>
            </w:r>
          </w:p>
          <w:p w:rsidR="00A76DC6" w:rsidRPr="0084091B" w:rsidRDefault="003815E3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0"/>
                <w:szCs w:val="20"/>
              </w:rPr>
              <w:t>Булевар Михайла Пупина 16, 21000 Нови Сад</w:t>
            </w:r>
          </w:p>
          <w:p w:rsidR="00A76DC6" w:rsidRPr="0084091B" w:rsidRDefault="008F0F33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0"/>
                <w:szCs w:val="20"/>
              </w:rPr>
              <w:t>Т: +381 21  487  44 52</w:t>
            </w:r>
          </w:p>
          <w:p w:rsidR="00A76DC6" w:rsidRPr="0084091B" w:rsidRDefault="003815E3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0"/>
                <w:szCs w:val="20"/>
              </w:rPr>
              <w:t>ounz@vojvodinа.gov.rs</w:t>
            </w:r>
          </w:p>
        </w:tc>
      </w:tr>
      <w:tr w:rsidR="001851D0" w:rsidRPr="0084091B" w:rsidTr="006E7D3B">
        <w:trPr>
          <w:trHeight w:val="305"/>
        </w:trPr>
        <w:tc>
          <w:tcPr>
            <w:tcW w:w="1125" w:type="pct"/>
          </w:tcPr>
          <w:p w:rsidR="00A76DC6" w:rsidRPr="0084091B" w:rsidRDefault="00A76DC6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ajorHAnsi" w:eastAsia="Calibri" w:hAnsiTheme="majorHAnsi" w:cstheme="majorHAnsi"/>
                <w:color w:val="0D0D0D" w:themeColor="text1" w:themeTint="F2"/>
              </w:rPr>
            </w:pPr>
          </w:p>
        </w:tc>
        <w:tc>
          <w:tcPr>
            <w:tcW w:w="2418" w:type="pct"/>
          </w:tcPr>
          <w:p w:rsidR="00A76DC6" w:rsidRPr="0084091B" w:rsidRDefault="00A76DC6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</w:p>
          <w:p w:rsidR="00A76DC6" w:rsidRPr="0084091B" w:rsidRDefault="00BD3715">
            <w:pPr>
              <w:tabs>
                <w:tab w:val="center" w:pos="4703"/>
                <w:tab w:val="right" w:pos="9406"/>
              </w:tabs>
              <w:ind w:left="600" w:hanging="600"/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0"/>
                <w:szCs w:val="20"/>
              </w:rPr>
              <w:t>ЧИСЛО: 004074417 2025 09427 001 001 000 001</w:t>
            </w:r>
          </w:p>
          <w:p w:rsidR="00A76DC6" w:rsidRPr="0084091B" w:rsidRDefault="00A76DC6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57" w:type="pct"/>
          </w:tcPr>
          <w:p w:rsidR="00A76DC6" w:rsidRPr="0084091B" w:rsidRDefault="00A76DC6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</w:p>
          <w:p w:rsidR="00A76DC6" w:rsidRPr="0084091B" w:rsidRDefault="003815E3" w:rsidP="0013193F">
            <w:pPr>
              <w:tabs>
                <w:tab w:val="center" w:pos="4703"/>
                <w:tab w:val="right" w:pos="9406"/>
              </w:tabs>
              <w:rPr>
                <w:rFonts w:asciiTheme="majorHAnsi" w:eastAsia="Calibri" w:hAnsiTheme="majorHAnsi" w:cstheme="majorHAnsi"/>
                <w:color w:val="0D0D0D" w:themeColor="text1" w:themeTint="F2"/>
                <w:sz w:val="20"/>
                <w:szCs w:val="20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0"/>
                <w:szCs w:val="20"/>
              </w:rPr>
              <w:t>ДАТУМ: 10.11.2025. року</w:t>
            </w:r>
          </w:p>
        </w:tc>
      </w:tr>
    </w:tbl>
    <w:p w:rsidR="00A76DC6" w:rsidRPr="0084091B" w:rsidRDefault="003815E3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        На основи члена 8. 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школярского стандарду у Автономней покраїни Войводини («Службени новини АПВ», число 14/2015 и 10/2017), члена 15, 16, 24. и 37. Покраїнскей скупштинскей одлуки о покраїнскей управи («Службени новини </w:t>
      </w:r>
      <w:r w:rsidR="00591487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АПВ», число 37/14, 54/14 – др. o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длука, 37/2016, 29/17, 24/19,  66/20, 38/</w:t>
      </w:r>
      <w:r w:rsidR="00591487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21 и 22/25), члена 7. Правилнїк</w:t>
      </w:r>
      <w:r w:rsidR="00591487" w:rsidRPr="0084091B">
        <w:rPr>
          <w:rFonts w:asciiTheme="majorHAnsi" w:hAnsiTheme="majorHAnsi" w:cstheme="majorHAnsi"/>
          <w:color w:val="0D0D0D" w:themeColor="text1" w:themeTint="F2"/>
          <w:sz w:val="22"/>
          <w:szCs w:val="22"/>
          <w:lang w:val="en-US"/>
        </w:rPr>
        <w:t>у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активносцох, програмох и проєктох националних совитох националних меншинох у обласци основного и штреднього образованя («Службени новини АПВ», число 9/16 и 36/17), а по запровадзеним Конкурсу за финансованє и софинансованє активносцох, програмох и проєктох националних совитох националних меншинох у обласци основного и штреднього образованя у Автономней покраїни Войводини за 2025. рок – дотированє пририхтованя и виробк</w:t>
      </w:r>
      <w:r w:rsidR="00591487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у тестох и задаткох на меншинск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их язикох («Службени новини АПВ», число 56/25)</w:t>
      </w:r>
      <w:r w:rsidR="00591487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,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покраїнски секретар за образованє, предписаня, управу и националн</w:t>
      </w:r>
      <w:r w:rsidR="00591487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и меншини – национални заєднїци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п р и н о ш и </w:t>
      </w:r>
    </w:p>
    <w:p w:rsidR="00A76DC6" w:rsidRPr="0084091B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:rsidR="00A76DC6" w:rsidRPr="0084091B" w:rsidRDefault="003815E3">
      <w:pPr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b/>
          <w:color w:val="0D0D0D" w:themeColor="text1" w:themeTint="F2"/>
          <w:sz w:val="22"/>
          <w:szCs w:val="22"/>
        </w:rPr>
        <w:t>РИШЕНЄ</w:t>
      </w:r>
    </w:p>
    <w:p w:rsidR="00A76DC6" w:rsidRPr="0084091B" w:rsidRDefault="003815E3" w:rsidP="008F0F33">
      <w:pPr>
        <w:spacing w:after="120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b/>
          <w:color w:val="0D0D0D" w:themeColor="text1" w:themeTint="F2"/>
          <w:sz w:val="22"/>
          <w:szCs w:val="22"/>
        </w:rPr>
        <w:t>О РОЗПОДЗЕЛЬОВАНЮ БУДЖЕТНИХ СРЕДСТВОХ ПОКРАЇНСКОГО СЕКРЕТАРИЯТУ ЗА ОБРАЗОВАНЄ, ПРЕДПИСАНЯ, УПРАВУ, НАЦИОНАЛНИ МЕНШИНИ – НАЦИОНАЛНИ ЗАЄДНЇЦИ ЗА ФИНАНСОВАНЄ И СОФИНАНСОВАНЄ АКТИВНОСЦОХ, ПРОГРАМОХ И ПРОЄКТОХ НАЦИОНАЛНИХ СОВИТОХ НАЦИОНАЛНИХ МЕНШИНОХ У ОБЛАСЦИ ОСНОВНОГО ОБРАЗОВАНЯ У АП ВОЙВОДИНИ ЗА 2025. РОК – ДОТИРОВАНЄ ПРИРИХТОВАНЯ И ВИРОБКУ ТЕСТОХ И ЗАДАТКОХ НА МЕНШИНСКИХ ЯЗИКОХ</w:t>
      </w:r>
    </w:p>
    <w:p w:rsidR="00A76DC6" w:rsidRPr="0084091B" w:rsidRDefault="008F0F33" w:rsidP="008F0F33">
      <w:pPr>
        <w:spacing w:after="120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I</w:t>
      </w:r>
    </w:p>
    <w:p w:rsidR="00A76DC6" w:rsidRPr="0084091B" w:rsidRDefault="00591487" w:rsidP="008F0F33">
      <w:pPr>
        <w:spacing w:after="12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        З</w:t>
      </w:r>
      <w:r w:rsidR="003815E3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тим ришеньом ше утвердзує розподзельованє буджетних средствох Покраїнского секретарияту за образованє, предписаня, управу и национални меншини – национални заєднїци (у дальшим тексту: Секретарият) по Конкурсу за финансованє и софинансованє активносцох, програмох и проєктох националних совитох националних меншинох у обласци основного и штреднього образованя у Автономней покраїни Войводини за 2025. рок – дотированє пририхтованя и виробку тестох и задаткох на меншинских язикох, число</w:t>
      </w:r>
      <w:r w:rsidR="00A34C48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:</w:t>
      </w:r>
      <w:r w:rsidR="003815E3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004074417 2025 09427 001 001 000 001 од 10.10.2025. року (у дальшим тексту: Конкурс) у обласци основного и штреднього образованя. </w:t>
      </w:r>
    </w:p>
    <w:p w:rsidR="00A76DC6" w:rsidRPr="0084091B" w:rsidRDefault="008F0F33" w:rsidP="008F0F33">
      <w:pPr>
        <w:spacing w:after="120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II</w:t>
      </w:r>
    </w:p>
    <w:p w:rsidR="00A76DC6" w:rsidRPr="0084091B" w:rsidRDefault="00A14A41" w:rsidP="008F0F33">
      <w:pPr>
        <w:spacing w:after="120"/>
        <w:ind w:firstLine="36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Определєни средства з Конкурсом у обласци основного и штреднього образованя за активносци, програми и проєкти – до</w:t>
      </w:r>
      <w:r w:rsidR="00591487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тированє пририхтованя и виробку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тестох и задаткох на меншинских язикох виноша 600.000,00 динари, у обласци основного образованя 470.000,00 динари и 130.000,00 динари у обласци шреднього обра</w:t>
      </w:r>
      <w:r w:rsidR="00591487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зованя, а з тим ришеньом ше роз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подзелює средстава у суми 600.000,00 динари, у обласци основного образованя 470.000,00 динари и 130.000,00 динари у обласци шреднього образованя.</w:t>
      </w:r>
    </w:p>
    <w:p w:rsidR="006E7D3B" w:rsidRPr="0084091B" w:rsidRDefault="00A14A41" w:rsidP="008F0F33">
      <w:pPr>
        <w:spacing w:after="12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ab/>
        <w:t>Средства ше одобрує националним совитом националних меншинох (у дальшим тексту: Хаснователє) у с</w:t>
      </w:r>
      <w:r w:rsidR="00591487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кладзе зоз Таблїчку число 1. и Т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аблїчку число 2.</w:t>
      </w:r>
    </w:p>
    <w:p w:rsidR="008F0F33" w:rsidRPr="0084091B" w:rsidRDefault="008F0F33">
      <w:pPr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</w:rPr>
        <w:br w:type="page"/>
      </w:r>
    </w:p>
    <w:p w:rsidR="006A4080" w:rsidRPr="0084091B" w:rsidRDefault="006A4080" w:rsidP="006A4080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Таблїчка число 1: Розподзельованє средствох по Конкурсу за финансованє и софинансованє активносцох, програмох и проєктох националних совитох националних меншинох у обласци основного и штреднього образованя у Автономней покраїни Войводини за 2025. рок – дотированє пририхтованя и виробку тестох и задаткох на меншинских язикох у обласци основного образованя</w:t>
      </w:r>
    </w:p>
    <w:p w:rsidR="006A4080" w:rsidRPr="0084091B" w:rsidRDefault="006A4080" w:rsidP="006A4080">
      <w:pPr>
        <w:ind w:left="643"/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6551"/>
        <w:gridCol w:w="3076"/>
      </w:tblGrid>
      <w:tr w:rsidR="001851D0" w:rsidRPr="0084091B" w:rsidTr="001E1A9D">
        <w:trPr>
          <w:trHeight w:val="315"/>
        </w:trPr>
        <w:tc>
          <w:tcPr>
            <w:tcW w:w="662" w:type="pct"/>
            <w:shd w:val="clear" w:color="auto" w:fill="auto"/>
            <w:vAlign w:val="center"/>
          </w:tcPr>
          <w:p w:rsidR="006A4080" w:rsidRPr="0084091B" w:rsidRDefault="006A4080" w:rsidP="001E1A9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  <w:t>Порядкове число</w:t>
            </w:r>
          </w:p>
        </w:tc>
        <w:tc>
          <w:tcPr>
            <w:tcW w:w="2952" w:type="pct"/>
            <w:shd w:val="clear" w:color="auto" w:fill="auto"/>
            <w:noWrap/>
            <w:vAlign w:val="center"/>
          </w:tcPr>
          <w:p w:rsidR="006A4080" w:rsidRPr="0084091B" w:rsidRDefault="006A4080" w:rsidP="001E1A9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  <w:t>Национални совит</w:t>
            </w:r>
          </w:p>
          <w:p w:rsidR="006A4080" w:rsidRPr="0084091B" w:rsidRDefault="006A4080" w:rsidP="001E1A9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1386" w:type="pct"/>
            <w:shd w:val="clear" w:color="auto" w:fill="auto"/>
            <w:vAlign w:val="center"/>
          </w:tcPr>
          <w:p w:rsidR="006A4080" w:rsidRPr="0084091B" w:rsidRDefault="009D68FA" w:rsidP="001E1A9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  <w:t>Сума</w:t>
            </w:r>
          </w:p>
          <w:p w:rsidR="009D68FA" w:rsidRPr="0084091B" w:rsidRDefault="009D68FA" w:rsidP="001E1A9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</w:tr>
      <w:tr w:rsidR="00C41E55" w:rsidRPr="0084091B" w:rsidTr="002A6B13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:rsidR="00C41E55" w:rsidRPr="0084091B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Национални совит мадярскей националней меншини</w:t>
            </w:r>
          </w:p>
        </w:tc>
        <w:tc>
          <w:tcPr>
            <w:tcW w:w="1386" w:type="pct"/>
            <w:shd w:val="clear" w:color="auto" w:fill="auto"/>
          </w:tcPr>
          <w:p w:rsidR="00C41E55" w:rsidRPr="0084091B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178.930,42</w:t>
            </w:r>
          </w:p>
        </w:tc>
      </w:tr>
      <w:tr w:rsidR="00C41E55" w:rsidRPr="0084091B" w:rsidTr="002A6B13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:rsidR="00C41E55" w:rsidRPr="0084091B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Национални совит румунскей националней меншини</w:t>
            </w:r>
          </w:p>
        </w:tc>
        <w:tc>
          <w:tcPr>
            <w:tcW w:w="1386" w:type="pct"/>
            <w:shd w:val="clear" w:color="auto" w:fill="auto"/>
          </w:tcPr>
          <w:p w:rsidR="00C41E55" w:rsidRPr="0084091B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63.645,88</w:t>
            </w:r>
          </w:p>
        </w:tc>
      </w:tr>
      <w:tr w:rsidR="00C41E55" w:rsidRPr="0084091B" w:rsidTr="002A6B13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:rsidR="00C41E55" w:rsidRPr="0084091B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Национални совит рускей националней меншини</w:t>
            </w:r>
          </w:p>
        </w:tc>
        <w:tc>
          <w:tcPr>
            <w:tcW w:w="1386" w:type="pct"/>
            <w:shd w:val="clear" w:color="auto" w:fill="auto"/>
          </w:tcPr>
          <w:p w:rsidR="00C41E55" w:rsidRPr="0084091B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47.241,70</w:t>
            </w:r>
          </w:p>
        </w:tc>
      </w:tr>
      <w:tr w:rsidR="00C41E55" w:rsidRPr="0084091B" w:rsidTr="002A6B13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:rsidR="00C41E55" w:rsidRPr="0084091B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Национални совит словацкей националней меншини</w:t>
            </w:r>
          </w:p>
        </w:tc>
        <w:tc>
          <w:tcPr>
            <w:tcW w:w="1386" w:type="pct"/>
            <w:shd w:val="clear" w:color="auto" w:fill="auto"/>
          </w:tcPr>
          <w:p w:rsidR="00C41E55" w:rsidRPr="0084091B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88.251,28</w:t>
            </w:r>
          </w:p>
        </w:tc>
      </w:tr>
      <w:tr w:rsidR="00C41E55" w:rsidRPr="0084091B" w:rsidTr="002A6B13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:rsidR="00C41E55" w:rsidRPr="0084091B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Национални совит горватскей националней меншини</w:t>
            </w:r>
          </w:p>
        </w:tc>
        <w:tc>
          <w:tcPr>
            <w:tcW w:w="1386" w:type="pct"/>
            <w:shd w:val="clear" w:color="auto" w:fill="auto"/>
          </w:tcPr>
          <w:p w:rsidR="00C41E55" w:rsidRPr="0084091B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91.930,72</w:t>
            </w:r>
          </w:p>
        </w:tc>
      </w:tr>
      <w:tr w:rsidR="006A4080" w:rsidRPr="0084091B" w:rsidTr="008F0F33">
        <w:trPr>
          <w:trHeight w:val="315"/>
        </w:trPr>
        <w:tc>
          <w:tcPr>
            <w:tcW w:w="662" w:type="pct"/>
            <w:shd w:val="clear" w:color="auto" w:fill="auto"/>
          </w:tcPr>
          <w:p w:rsidR="006A4080" w:rsidRPr="0084091B" w:rsidRDefault="006A4080" w:rsidP="001472A4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2952" w:type="pct"/>
            <w:shd w:val="clear" w:color="auto" w:fill="auto"/>
            <w:noWrap/>
            <w:vAlign w:val="bottom"/>
          </w:tcPr>
          <w:p w:rsidR="006A4080" w:rsidRPr="0084091B" w:rsidRDefault="006A4080" w:rsidP="001472A4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  <w:t>Вкупно:</w:t>
            </w:r>
          </w:p>
        </w:tc>
        <w:tc>
          <w:tcPr>
            <w:tcW w:w="1386" w:type="pct"/>
            <w:shd w:val="clear" w:color="auto" w:fill="auto"/>
            <w:vAlign w:val="bottom"/>
          </w:tcPr>
          <w:p w:rsidR="006A4080" w:rsidRPr="0084091B" w:rsidRDefault="00C41E55" w:rsidP="001472A4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  <w:t>470.000,00</w:t>
            </w:r>
          </w:p>
        </w:tc>
      </w:tr>
    </w:tbl>
    <w:p w:rsidR="008F0F33" w:rsidRPr="0084091B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:rsidR="00C41E55" w:rsidRPr="0084091B" w:rsidRDefault="00C41E55" w:rsidP="00C41E55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Таблїчка число 2: Розподзельованє средствох по Конкурсу за финансованє и софинансованє активносцох, програмох и проєктох националних совитох националних меншинох у обласци основного и штреднього образованя у Автономней покраїни Войводини за 2025. рок – дотированє пририхтованя и виробку тестох и задаткох на меншинских язикох у обласци штреднього образованя</w:t>
      </w:r>
    </w:p>
    <w:p w:rsidR="00C41E55" w:rsidRPr="0084091B" w:rsidRDefault="00C41E55" w:rsidP="00C41E55">
      <w:pPr>
        <w:jc w:val="both"/>
        <w:rPr>
          <w:rFonts w:asciiTheme="majorHAnsi" w:hAnsiTheme="majorHAnsi" w:cstheme="majorHAnsi"/>
          <w:color w:val="0D0D0D" w:themeColor="text1" w:themeTint="F2"/>
          <w:sz w:val="22"/>
          <w:szCs w:val="22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6551"/>
        <w:gridCol w:w="3076"/>
      </w:tblGrid>
      <w:tr w:rsidR="00C41E55" w:rsidRPr="0084091B" w:rsidTr="007642ED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  <w:t>Порядкове число</w:t>
            </w:r>
          </w:p>
        </w:tc>
        <w:tc>
          <w:tcPr>
            <w:tcW w:w="2952" w:type="pct"/>
            <w:shd w:val="clear" w:color="auto" w:fill="auto"/>
            <w:noWrap/>
            <w:vAlign w:val="bottom"/>
          </w:tcPr>
          <w:p w:rsidR="00C41E55" w:rsidRPr="0084091B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  <w:t>Национални совит</w:t>
            </w:r>
          </w:p>
          <w:p w:rsidR="00C41E55" w:rsidRPr="0084091B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1386" w:type="pct"/>
            <w:shd w:val="clear" w:color="auto" w:fill="auto"/>
            <w:vAlign w:val="bottom"/>
          </w:tcPr>
          <w:p w:rsidR="00C41E55" w:rsidRPr="0084091B" w:rsidRDefault="00C41E55" w:rsidP="007642ED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  <w:t>Сума</w:t>
            </w:r>
          </w:p>
          <w:p w:rsidR="00C41E55" w:rsidRPr="0084091B" w:rsidRDefault="00C41E55" w:rsidP="007642ED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</w:tr>
      <w:tr w:rsidR="00C41E55" w:rsidRPr="0084091B" w:rsidTr="007642ED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:rsidR="00C41E55" w:rsidRPr="0084091B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Национални совит мадярскей националней меншини</w:t>
            </w:r>
          </w:p>
        </w:tc>
        <w:tc>
          <w:tcPr>
            <w:tcW w:w="1386" w:type="pct"/>
            <w:shd w:val="clear" w:color="auto" w:fill="auto"/>
          </w:tcPr>
          <w:p w:rsidR="00C41E55" w:rsidRPr="0084091B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58.756,13</w:t>
            </w:r>
          </w:p>
        </w:tc>
      </w:tr>
      <w:tr w:rsidR="00C41E55" w:rsidRPr="0084091B" w:rsidTr="007642ED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:rsidR="00C41E55" w:rsidRPr="0084091B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Национални совит румунскей националней меншини</w:t>
            </w:r>
          </w:p>
        </w:tc>
        <w:tc>
          <w:tcPr>
            <w:tcW w:w="1386" w:type="pct"/>
            <w:shd w:val="clear" w:color="auto" w:fill="auto"/>
          </w:tcPr>
          <w:p w:rsidR="00C41E55" w:rsidRPr="0084091B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19.154,90</w:t>
            </w:r>
          </w:p>
        </w:tc>
      </w:tr>
      <w:tr w:rsidR="00C41E55" w:rsidRPr="0084091B" w:rsidTr="007642ED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:rsidR="00C41E55" w:rsidRPr="0084091B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Национални совит рускей националней меншини</w:t>
            </w:r>
          </w:p>
        </w:tc>
        <w:tc>
          <w:tcPr>
            <w:tcW w:w="1386" w:type="pct"/>
            <w:shd w:val="clear" w:color="auto" w:fill="auto"/>
          </w:tcPr>
          <w:p w:rsidR="00C41E55" w:rsidRPr="0084091B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17.486,57</w:t>
            </w:r>
          </w:p>
        </w:tc>
      </w:tr>
      <w:tr w:rsidR="00C41E55" w:rsidRPr="0084091B" w:rsidTr="007642ED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:rsidR="00C41E55" w:rsidRPr="0084091B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Национални совит словацкей националней меншини</w:t>
            </w:r>
          </w:p>
        </w:tc>
        <w:tc>
          <w:tcPr>
            <w:tcW w:w="1386" w:type="pct"/>
            <w:shd w:val="clear" w:color="auto" w:fill="auto"/>
          </w:tcPr>
          <w:p w:rsidR="00C41E55" w:rsidRPr="0084091B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13.408,43</w:t>
            </w:r>
          </w:p>
        </w:tc>
      </w:tr>
      <w:tr w:rsidR="00C41E55" w:rsidRPr="0084091B" w:rsidTr="007642ED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C41E55">
            <w:pPr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2952" w:type="pct"/>
            <w:shd w:val="clear" w:color="auto" w:fill="auto"/>
            <w:noWrap/>
            <w:hideMark/>
          </w:tcPr>
          <w:p w:rsidR="00C41E55" w:rsidRPr="0084091B" w:rsidRDefault="00C41E55" w:rsidP="00C41E55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Национални совит горватскей националней меншини</w:t>
            </w:r>
          </w:p>
        </w:tc>
        <w:tc>
          <w:tcPr>
            <w:tcW w:w="1386" w:type="pct"/>
            <w:shd w:val="clear" w:color="auto" w:fill="auto"/>
          </w:tcPr>
          <w:p w:rsidR="00C41E55" w:rsidRPr="0084091B" w:rsidRDefault="00C41E55" w:rsidP="00C41E55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sz w:val="22"/>
                <w:szCs w:val="22"/>
              </w:rPr>
              <w:t>21.193,97</w:t>
            </w:r>
          </w:p>
        </w:tc>
      </w:tr>
      <w:tr w:rsidR="00C41E55" w:rsidRPr="0084091B" w:rsidTr="007642ED">
        <w:trPr>
          <w:trHeight w:val="315"/>
        </w:trPr>
        <w:tc>
          <w:tcPr>
            <w:tcW w:w="662" w:type="pct"/>
            <w:shd w:val="clear" w:color="auto" w:fill="auto"/>
          </w:tcPr>
          <w:p w:rsidR="00C41E55" w:rsidRPr="0084091B" w:rsidRDefault="00C41E55" w:rsidP="007642ED">
            <w:pPr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2952" w:type="pct"/>
            <w:shd w:val="clear" w:color="auto" w:fill="auto"/>
            <w:noWrap/>
            <w:vAlign w:val="bottom"/>
          </w:tcPr>
          <w:p w:rsidR="00C41E55" w:rsidRPr="0084091B" w:rsidRDefault="00C41E55" w:rsidP="007642ED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  <w:t>Вкупно:</w:t>
            </w:r>
          </w:p>
        </w:tc>
        <w:tc>
          <w:tcPr>
            <w:tcW w:w="1386" w:type="pct"/>
            <w:shd w:val="clear" w:color="auto" w:fill="auto"/>
            <w:vAlign w:val="bottom"/>
          </w:tcPr>
          <w:p w:rsidR="00C41E55" w:rsidRPr="0084091B" w:rsidRDefault="00C41E55" w:rsidP="007642ED">
            <w:pPr>
              <w:jc w:val="right"/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</w:pPr>
            <w:r w:rsidRPr="0084091B">
              <w:rPr>
                <w:rFonts w:asciiTheme="majorHAnsi" w:hAnsiTheme="majorHAnsi" w:cstheme="majorHAnsi"/>
                <w:color w:val="0D0D0D" w:themeColor="text1" w:themeTint="F2"/>
                <w:sz w:val="22"/>
                <w:szCs w:val="22"/>
              </w:rPr>
              <w:t>130.000,00</w:t>
            </w:r>
          </w:p>
        </w:tc>
      </w:tr>
    </w:tbl>
    <w:p w:rsidR="00C41E55" w:rsidRPr="0084091B" w:rsidRDefault="00C41E55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:rsidR="00A76DC6" w:rsidRPr="0084091B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after="120"/>
        <w:ind w:right="-11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III</w:t>
      </w:r>
    </w:p>
    <w:p w:rsidR="00A76DC6" w:rsidRPr="0084091B" w:rsidRDefault="006A4080" w:rsidP="00C41E55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 w:firstLine="360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 </w:t>
      </w:r>
      <w:r w:rsidRPr="0084091B">
        <w:rPr>
          <w:rFonts w:asciiTheme="majorHAnsi" w:hAnsiTheme="majorHAnsi" w:cstheme="majorHAnsi"/>
          <w:sz w:val="22"/>
        </w:rPr>
        <w:t>Средства з точки II того ришеня предвидзени з Покраїнску скупштинску одлуку о буджету Автономней покраїни Войводини за 2025. рок («Службени новини АПВ», число</w:t>
      </w:r>
      <w:r w:rsidRPr="0084091B">
        <w:rPr>
          <w:rFonts w:asciiTheme="majorHAnsi" w:hAnsiTheme="majorHAnsi" w:cstheme="majorHAnsi"/>
          <w:sz w:val="22"/>
          <w:szCs w:val="20"/>
        </w:rPr>
        <w:t xml:space="preserve"> 57/24, 38/25 – ребаланс и 53/25 – ребаланс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) у рамикох Роздїлу 06 – Покраїнски секретарият за образованє, предписаня, управу и национални меншини – национални заєднїци, Програма 2003 – Основне образованє, Програмна активносц 1004 – Дзвиганє квалитету основного образованя, функционална класификация 910, жридло финансованя 01 00 – Общи приходи и приманя буджету, економска класификация 4819 – Дотациї ишим нєпрофитним институцийом и у рамикох Роздїлу 06 – Покраїнски секретарият за образованє, предписаня, управу и национални меншини – национални заєднїци, Програма 2004 – Штреднє образованє, Програмна активносц 1002 – Дзвиганє квалитету штреднього образованя, функционална класификация 920, жридло финансованя 01 00 – Общи приходи и приманя буджету, економска класификация 4819 – Дотациї иншим нєпрофитним институцийом, а преноши ше их хасновательом у складзе з</w:t>
      </w:r>
      <w:r w:rsidR="007004FA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оз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прилївом средствох до буджету АП Войводини, односно з ликвиднима можлївосцами буджету.</w:t>
      </w:r>
    </w:p>
    <w:p w:rsidR="00A76DC6" w:rsidRPr="0084091B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IV</w:t>
      </w:r>
    </w:p>
    <w:p w:rsidR="00A76DC6" w:rsidRPr="0084091B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ab/>
        <w:t>Хаснователє длужни при реализациї наменки за хтору средства додзелєни, поступац у складзе зоз Законом о явних набавкох.</w:t>
      </w:r>
    </w:p>
    <w:p w:rsidR="006E7D3B" w:rsidRPr="0084091B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V</w:t>
      </w:r>
    </w:p>
    <w:p w:rsidR="00A76DC6" w:rsidRPr="0084091B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ab/>
        <w:t>Резултати о розподзельованю средствох ше обя</w:t>
      </w:r>
      <w:r w:rsidR="00D902C6"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ви на интернет-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презентациї Секретарияту.</w:t>
      </w:r>
    </w:p>
    <w:p w:rsidR="006E7D3B" w:rsidRPr="0084091B" w:rsidRDefault="008F0F33" w:rsidP="008F0F33">
      <w:pPr>
        <w:tabs>
          <w:tab w:val="left" w:pos="108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VI</w:t>
      </w:r>
    </w:p>
    <w:p w:rsidR="00A76DC6" w:rsidRPr="0084091B" w:rsidRDefault="006E7D3B" w:rsidP="008F0F33">
      <w:pPr>
        <w:tabs>
          <w:tab w:val="left" w:pos="567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ab/>
        <w:t xml:space="preserve">Секретарият обовязку спрам хасновательох превежнє на </w:t>
      </w:r>
      <w:r w:rsidRPr="0084091B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основи контракту у писаней форми</w:t>
      </w: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.</w:t>
      </w:r>
      <w:r w:rsidRPr="0084091B">
        <w:rPr>
          <w:rFonts w:asciiTheme="majorHAnsi" w:hAnsiTheme="majorHAnsi" w:cstheme="majorHAnsi"/>
          <w:b/>
          <w:color w:val="0D0D0D" w:themeColor="text1" w:themeTint="F2"/>
          <w:sz w:val="22"/>
          <w:szCs w:val="22"/>
        </w:rPr>
        <w:t xml:space="preserve"> </w:t>
      </w:r>
    </w:p>
    <w:p w:rsidR="006E7D3B" w:rsidRPr="0084091B" w:rsidRDefault="008F0F33" w:rsidP="008F0F3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VII</w:t>
      </w:r>
    </w:p>
    <w:p w:rsidR="00A76DC6" w:rsidRPr="0084091B" w:rsidRDefault="003815E3" w:rsidP="008F0F33">
      <w:pPr>
        <w:pBdr>
          <w:top w:val="nil"/>
          <w:left w:val="nil"/>
          <w:bottom w:val="nil"/>
          <w:right w:val="nil"/>
          <w:between w:val="nil"/>
        </w:pBdr>
        <w:spacing w:after="120"/>
        <w:ind w:right="102" w:firstLine="567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Тото ришенє конєчне и процив нього нє мож хасновац правне средство.</w:t>
      </w:r>
    </w:p>
    <w:p w:rsidR="006E7D3B" w:rsidRPr="0084091B" w:rsidRDefault="008F0F33" w:rsidP="008F0F33">
      <w:pPr>
        <w:tabs>
          <w:tab w:val="left" w:pos="0"/>
          <w:tab w:val="left" w:pos="1080"/>
          <w:tab w:val="left" w:pos="1440"/>
          <w:tab w:val="left" w:pos="5040"/>
        </w:tabs>
        <w:spacing w:after="120"/>
        <w:ind w:right="102"/>
        <w:jc w:val="center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VIII</w:t>
      </w:r>
    </w:p>
    <w:p w:rsidR="00A76DC6" w:rsidRPr="0084091B" w:rsidRDefault="006E7D3B" w:rsidP="008F0F33">
      <w:pPr>
        <w:tabs>
          <w:tab w:val="left" w:pos="0"/>
          <w:tab w:val="left" w:pos="567"/>
          <w:tab w:val="left" w:pos="1440"/>
          <w:tab w:val="left" w:pos="5040"/>
        </w:tabs>
        <w:spacing w:after="120"/>
        <w:ind w:right="102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ab/>
        <w:t>За вивершенє того ришеня ше задлужує Сектор за материялно-финансийни роботи Секретарияту.</w:t>
      </w:r>
    </w:p>
    <w:p w:rsidR="00A76DC6" w:rsidRPr="0084091B" w:rsidRDefault="00A76DC6" w:rsidP="006E7D3B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ind w:right="102"/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  <w:lang w:val="ru-RU"/>
        </w:rPr>
      </w:pPr>
    </w:p>
    <w:p w:rsidR="009311D2" w:rsidRDefault="003815E3">
      <w:pPr>
        <w:jc w:val="both"/>
        <w:rPr>
          <w:rFonts w:asciiTheme="majorHAnsi" w:hAnsiTheme="majorHAnsi" w:cstheme="majorHAnsi"/>
          <w:bCs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bCs/>
          <w:color w:val="0D0D0D" w:themeColor="text1" w:themeTint="F2"/>
          <w:sz w:val="22"/>
          <w:szCs w:val="22"/>
        </w:rPr>
        <w:t>Ришенє доручиц:</w:t>
      </w:r>
    </w:p>
    <w:p w:rsidR="00A34C48" w:rsidRPr="0084091B" w:rsidRDefault="00A34C48">
      <w:pPr>
        <w:jc w:val="both"/>
        <w:rPr>
          <w:rFonts w:asciiTheme="majorHAnsi" w:eastAsia="Calibri" w:hAnsiTheme="majorHAnsi" w:cstheme="majorHAnsi"/>
          <w:bCs/>
          <w:color w:val="0D0D0D" w:themeColor="text1" w:themeTint="F2"/>
          <w:sz w:val="22"/>
          <w:szCs w:val="22"/>
        </w:rPr>
      </w:pPr>
    </w:p>
    <w:p w:rsidR="00A76DC6" w:rsidRPr="0084091B" w:rsidRDefault="003815E3">
      <w:pPr>
        <w:numPr>
          <w:ilvl w:val="0"/>
          <w:numId w:val="1"/>
        </w:num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Сектору за материялно-финансийни роботи Секретарияту</w:t>
      </w:r>
    </w:p>
    <w:p w:rsidR="00A76DC6" w:rsidRPr="0084091B" w:rsidRDefault="003815E3">
      <w:pPr>
        <w:numPr>
          <w:ilvl w:val="0"/>
          <w:numId w:val="1"/>
        </w:num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Архиви  </w:t>
      </w:r>
    </w:p>
    <w:p w:rsidR="00A76DC6" w:rsidRPr="0084091B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:rsidR="00A76DC6" w:rsidRPr="0084091B" w:rsidRDefault="008F0F33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  <w:r w:rsidRPr="0084091B">
        <w:rPr>
          <w:rFonts w:asciiTheme="majorHAnsi" w:hAnsiTheme="majorHAnsi" w:cstheme="majorHAnsi"/>
          <w:noProof/>
          <w:color w:val="0D0D0D" w:themeColor="text1" w:themeTint="F2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EE2A776" wp14:editId="3443671A">
                <wp:simplePos x="0" y="0"/>
                <wp:positionH relativeFrom="column">
                  <wp:posOffset>4224655</wp:posOffset>
                </wp:positionH>
                <wp:positionV relativeFrom="paragraph">
                  <wp:posOffset>147955</wp:posOffset>
                </wp:positionV>
                <wp:extent cx="2360930" cy="1404620"/>
                <wp:effectExtent l="0" t="0" r="1968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3B" w:rsidRPr="006E7D3B" w:rsidRDefault="006E7D3B" w:rsidP="006E7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ПОКРАЇНСКИ СЕКРЕТАР,</w:t>
                            </w:r>
                          </w:p>
                          <w:p w:rsidR="00D54740" w:rsidRDefault="00D54740" w:rsidP="006E7D3B">
                            <w:pPr>
                              <w:tabs>
                                <w:tab w:val="left" w:pos="0"/>
                                <w:tab w:val="left" w:pos="1080"/>
                              </w:tabs>
                              <w:spacing w:after="280"/>
                              <w:ind w:right="-12"/>
                              <w:jc w:val="center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</w:p>
                          <w:p w:rsidR="006E7D3B" w:rsidRPr="006E7D3B" w:rsidRDefault="004316DE" w:rsidP="006E7D3B">
                            <w:pPr>
                              <w:tabs>
                                <w:tab w:val="left" w:pos="0"/>
                                <w:tab w:val="left" w:pos="1080"/>
                              </w:tabs>
                              <w:spacing w:after="280"/>
                              <w:ind w:right="-12"/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Роберт Отот, с.</w:t>
                            </w:r>
                            <w:r w:rsidR="006E7D3B">
                              <w:rPr>
                                <w:rFonts w:asciiTheme="majorHAnsi" w:hAnsiTheme="majorHAnsi"/>
                                <w:sz w:val="22"/>
                              </w:rPr>
                              <w:t>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2A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65pt;margin-top:11.65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CLmp5jfAAAACwEAAA8AAABkcnMvZG93bnJl&#10;di54bWxMj01PwzAMhu9I/IfISFzQlnbdWlSaTghp3BBioJ2zxjTV8lElWVf+Pd4JTpbtR68fN9vZ&#10;GjZhiIN3AvJlBgxd59XgegFfn7vFI7CYpFPSeIcCfjDCtr29aWSt/MV94LRPPaMQF2spQKc01pzH&#10;TqOVcelHdLT79sHKRG3ouQryQuHW8FWWldzKwdEFLUd80did9mcrAE9TLv3u9U0/vA9BGV3Z/lAJ&#10;cX83Pz8BSzinPxiu+qQOLTkd/dmpyIyAstwUhApYFVSvQFZUObAjTdbrDfC24f9/aH8B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IuanmN8AAAALAQAADwAAAAAAAAAAAAAAAACFBAAA&#10;ZHJzL2Rvd25yZXYueG1sUEsFBgAAAAAEAAQA8wAAAJEFAAAAAA==&#10;" strokecolor="white [3212]">
                <v:textbox style="mso-fit-shape-to-text:t">
                  <w:txbxContent>
                    <w:p w:rsidR="006E7D3B" w:rsidRPr="006E7D3B" w:rsidRDefault="006E7D3B" w:rsidP="006E7D3B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</w:rPr>
                        <w:t>ПОКРАЇНСКИ СЕКРЕТАР,</w:t>
                      </w:r>
                    </w:p>
                    <w:p w:rsidR="00D54740" w:rsidRDefault="00D54740" w:rsidP="006E7D3B">
                      <w:pPr>
                        <w:tabs>
                          <w:tab w:val="left" w:pos="0"/>
                          <w:tab w:val="left" w:pos="1080"/>
                        </w:tabs>
                        <w:spacing w:after="280"/>
                        <w:ind w:right="-12"/>
                        <w:jc w:val="center"/>
                        <w:rPr>
                          <w:rFonts w:asciiTheme="majorHAnsi" w:hAnsiTheme="majorHAnsi"/>
                          <w:sz w:val="22"/>
                        </w:rPr>
                      </w:pPr>
                    </w:p>
                    <w:p w:rsidR="006E7D3B" w:rsidRPr="006E7D3B" w:rsidRDefault="004316DE" w:rsidP="006E7D3B">
                      <w:pPr>
                        <w:tabs>
                          <w:tab w:val="left" w:pos="0"/>
                          <w:tab w:val="left" w:pos="1080"/>
                        </w:tabs>
                        <w:spacing w:after="280"/>
                        <w:ind w:right="-12"/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</w:rPr>
                        <w:t>Роберт Отот, с.</w:t>
                      </w:r>
                      <w:r w:rsidR="006E7D3B">
                        <w:rPr>
                          <w:rFonts w:asciiTheme="majorHAnsi" w:hAnsiTheme="majorHAnsi"/>
                          <w:sz w:val="22"/>
                        </w:rPr>
                        <w:t>р.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6DC6" w:rsidRPr="0084091B" w:rsidRDefault="00A76DC6">
      <w:pPr>
        <w:jc w:val="both"/>
        <w:rPr>
          <w:rFonts w:asciiTheme="majorHAnsi" w:eastAsia="Calibri" w:hAnsiTheme="majorHAnsi" w:cstheme="majorHAnsi"/>
          <w:color w:val="0D0D0D" w:themeColor="text1" w:themeTint="F2"/>
          <w:sz w:val="22"/>
          <w:szCs w:val="22"/>
        </w:rPr>
      </w:pPr>
    </w:p>
    <w:p w:rsidR="00A76DC6" w:rsidRPr="0084091B" w:rsidRDefault="00A76DC6">
      <w:pPr>
        <w:jc w:val="both"/>
        <w:rPr>
          <w:rFonts w:asciiTheme="majorHAnsi" w:eastAsia="Calibri" w:hAnsiTheme="majorHAnsi" w:cstheme="majorHAnsi"/>
          <w:b/>
          <w:bCs/>
          <w:color w:val="0D0D0D" w:themeColor="text1" w:themeTint="F2"/>
          <w:sz w:val="22"/>
          <w:szCs w:val="22"/>
        </w:rPr>
      </w:pPr>
    </w:p>
    <w:sectPr w:rsidR="00A76DC6" w:rsidRPr="0084091B" w:rsidSect="008F0F33">
      <w:headerReference w:type="even" r:id="rId8"/>
      <w:headerReference w:type="default" r:id="rId9"/>
      <w:pgSz w:w="12240" w:h="15840"/>
      <w:pgMar w:top="851" w:right="567" w:bottom="851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D5" w:rsidRDefault="007553D5">
      <w:r>
        <w:separator/>
      </w:r>
    </w:p>
  </w:endnote>
  <w:endnote w:type="continuationSeparator" w:id="0">
    <w:p w:rsidR="007553D5" w:rsidRDefault="0075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D5" w:rsidRDefault="007553D5">
      <w:r>
        <w:separator/>
      </w:r>
    </w:p>
  </w:footnote>
  <w:footnote w:type="continuationSeparator" w:id="0">
    <w:p w:rsidR="007553D5" w:rsidRDefault="0075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DC6" w:rsidRDefault="003815E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A76DC6" w:rsidRDefault="00A76D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0C6E"/>
    <w:multiLevelType w:val="multilevel"/>
    <w:tmpl w:val="13DA09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A09701F"/>
    <w:multiLevelType w:val="hybridMultilevel"/>
    <w:tmpl w:val="135292A8"/>
    <w:lvl w:ilvl="0" w:tplc="2B023C3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C6"/>
    <w:rsid w:val="000173BF"/>
    <w:rsid w:val="0002355E"/>
    <w:rsid w:val="00025B07"/>
    <w:rsid w:val="00026E11"/>
    <w:rsid w:val="00032C8D"/>
    <w:rsid w:val="00086329"/>
    <w:rsid w:val="000C2786"/>
    <w:rsid w:val="000C5402"/>
    <w:rsid w:val="00101382"/>
    <w:rsid w:val="0013193F"/>
    <w:rsid w:val="00166031"/>
    <w:rsid w:val="00181021"/>
    <w:rsid w:val="00183476"/>
    <w:rsid w:val="001851D0"/>
    <w:rsid w:val="00192A7D"/>
    <w:rsid w:val="001A6C23"/>
    <w:rsid w:val="001B5100"/>
    <w:rsid w:val="001D59E1"/>
    <w:rsid w:val="001D7AC1"/>
    <w:rsid w:val="001E1A9D"/>
    <w:rsid w:val="001F437B"/>
    <w:rsid w:val="00200E08"/>
    <w:rsid w:val="002312DD"/>
    <w:rsid w:val="00251886"/>
    <w:rsid w:val="00294F4B"/>
    <w:rsid w:val="002B5B24"/>
    <w:rsid w:val="002D7496"/>
    <w:rsid w:val="003138EB"/>
    <w:rsid w:val="0037080D"/>
    <w:rsid w:val="003815E3"/>
    <w:rsid w:val="00391E98"/>
    <w:rsid w:val="003E2913"/>
    <w:rsid w:val="004316DE"/>
    <w:rsid w:val="0045756D"/>
    <w:rsid w:val="004578BB"/>
    <w:rsid w:val="00466F13"/>
    <w:rsid w:val="00473451"/>
    <w:rsid w:val="00504301"/>
    <w:rsid w:val="00547E75"/>
    <w:rsid w:val="00591487"/>
    <w:rsid w:val="005A1C50"/>
    <w:rsid w:val="005A464B"/>
    <w:rsid w:val="005C5305"/>
    <w:rsid w:val="00630048"/>
    <w:rsid w:val="00651851"/>
    <w:rsid w:val="00655172"/>
    <w:rsid w:val="00657F79"/>
    <w:rsid w:val="0066746D"/>
    <w:rsid w:val="00675382"/>
    <w:rsid w:val="006A4080"/>
    <w:rsid w:val="006C3C5C"/>
    <w:rsid w:val="006E46F2"/>
    <w:rsid w:val="006E7D3B"/>
    <w:rsid w:val="006F0806"/>
    <w:rsid w:val="006F2E3B"/>
    <w:rsid w:val="006F3D68"/>
    <w:rsid w:val="007004FA"/>
    <w:rsid w:val="0072741A"/>
    <w:rsid w:val="0073586B"/>
    <w:rsid w:val="007553D5"/>
    <w:rsid w:val="00786DC0"/>
    <w:rsid w:val="007A37F9"/>
    <w:rsid w:val="007C6FED"/>
    <w:rsid w:val="007E418B"/>
    <w:rsid w:val="007F7AC2"/>
    <w:rsid w:val="00806740"/>
    <w:rsid w:val="00821BF5"/>
    <w:rsid w:val="00830130"/>
    <w:rsid w:val="0084091B"/>
    <w:rsid w:val="00857C5A"/>
    <w:rsid w:val="00872A79"/>
    <w:rsid w:val="00886EB3"/>
    <w:rsid w:val="008971A2"/>
    <w:rsid w:val="008B0146"/>
    <w:rsid w:val="008B7CA7"/>
    <w:rsid w:val="008F0F33"/>
    <w:rsid w:val="009200E3"/>
    <w:rsid w:val="00920D81"/>
    <w:rsid w:val="009311D2"/>
    <w:rsid w:val="0093285E"/>
    <w:rsid w:val="009D1DB4"/>
    <w:rsid w:val="009D68FA"/>
    <w:rsid w:val="009F182D"/>
    <w:rsid w:val="00A14A41"/>
    <w:rsid w:val="00A277BF"/>
    <w:rsid w:val="00A34C48"/>
    <w:rsid w:val="00A378FA"/>
    <w:rsid w:val="00A5507D"/>
    <w:rsid w:val="00A76DC6"/>
    <w:rsid w:val="00A92818"/>
    <w:rsid w:val="00AD7BBE"/>
    <w:rsid w:val="00AF4881"/>
    <w:rsid w:val="00AF73AB"/>
    <w:rsid w:val="00B159E3"/>
    <w:rsid w:val="00BB0DB1"/>
    <w:rsid w:val="00BD3715"/>
    <w:rsid w:val="00BE44CD"/>
    <w:rsid w:val="00C41E55"/>
    <w:rsid w:val="00C5137F"/>
    <w:rsid w:val="00CE6E20"/>
    <w:rsid w:val="00D23B28"/>
    <w:rsid w:val="00D54740"/>
    <w:rsid w:val="00D73986"/>
    <w:rsid w:val="00D902C6"/>
    <w:rsid w:val="00DA4207"/>
    <w:rsid w:val="00DC37BC"/>
    <w:rsid w:val="00DC51AB"/>
    <w:rsid w:val="00E34295"/>
    <w:rsid w:val="00E505A9"/>
    <w:rsid w:val="00E9089A"/>
    <w:rsid w:val="00E97C89"/>
    <w:rsid w:val="00EF663D"/>
    <w:rsid w:val="00F0125F"/>
    <w:rsid w:val="00F02249"/>
    <w:rsid w:val="00F12D6D"/>
    <w:rsid w:val="00F47F40"/>
    <w:rsid w:val="00F8579E"/>
    <w:rsid w:val="00F90479"/>
    <w:rsid w:val="00FC6883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4022"/>
  <w15:docId w15:val="{7EB20338-B369-4CBC-B47B-768B339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tabs>
        <w:tab w:val="left" w:pos="3927"/>
        <w:tab w:val="left" w:pos="4114"/>
      </w:tabs>
      <w:ind w:right="5525"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7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C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7D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0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33"/>
  </w:style>
  <w:style w:type="paragraph" w:styleId="Header">
    <w:name w:val="header"/>
    <w:basedOn w:val="Normal"/>
    <w:link w:val="HeaderChar"/>
    <w:uiPriority w:val="99"/>
    <w:unhideWhenUsed/>
    <w:rsid w:val="008F0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</dc:creator>
  <cp:lastModifiedBy>Natasa Perkovic</cp:lastModifiedBy>
  <cp:revision>21</cp:revision>
  <cp:lastPrinted>2025-11-10T11:53:00Z</cp:lastPrinted>
  <dcterms:created xsi:type="dcterms:W3CDTF">2025-10-31T10:47:00Z</dcterms:created>
  <dcterms:modified xsi:type="dcterms:W3CDTF">2025-11-12T08:24:00Z</dcterms:modified>
</cp:coreProperties>
</file>