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5000" w:type="pct"/>
        <w:tblLook w:val="0000" w:firstRow="0" w:lastRow="0" w:firstColumn="0" w:lastColumn="0" w:noHBand="0" w:noVBand="0"/>
      </w:tblPr>
      <w:tblGrid>
        <w:gridCol w:w="2499"/>
        <w:gridCol w:w="5371"/>
        <w:gridCol w:w="3236"/>
      </w:tblGrid>
      <w:tr w:rsidR="001851D0" w:rsidRPr="001851D0" w14:paraId="75A471C9" w14:textId="77777777" w:rsidTr="006E7D3B">
        <w:trPr>
          <w:trHeight w:val="1975"/>
        </w:trPr>
        <w:tc>
          <w:tcPr>
            <w:tcW w:w="1125" w:type="pct"/>
          </w:tcPr>
          <w:p w14:paraId="4B490A89" w14:textId="77777777" w:rsidR="00A76DC6" w:rsidRPr="001851D0" w:rsidRDefault="003815E3">
            <w:pPr>
              <w:tabs>
                <w:tab w:val="center" w:pos="4703"/>
                <w:tab w:val="right" w:pos="9406"/>
              </w:tabs>
              <w:ind w:left="-198" w:firstLine="108"/>
              <w:rPr>
                <w:rFonts w:ascii="Calibri" w:eastAsia="Calibri" w:hAnsi="Calibri" w:cs="Calibri"/>
                <w:color w:val="0D0D0D" w:themeColor="text1" w:themeTint="F2"/>
              </w:rPr>
            </w:pPr>
            <w:r>
              <w:rPr>
                <w:rFonts w:ascii="Calibri" w:hAnsi="Calibri"/>
                <w:noProof/>
                <w:color w:val="0D0D0D" w:themeColor="text1" w:themeTint="F2"/>
                <w:lang w:val="en-US"/>
              </w:rPr>
              <w:drawing>
                <wp:inline distT="0" distB="0" distL="114300" distR="114300" wp14:anchorId="7F308113" wp14:editId="02D4C35F">
                  <wp:extent cx="1489710" cy="965200"/>
                  <wp:effectExtent l="0" t="0" r="0" b="0"/>
                  <wp:docPr id="1" name="image1.png" descr="ГРБОВИ ЗА МЕМОРАНДУМ"/>
                  <wp:cNvGraphicFramePr/>
                  <a:graphic xmlns:a="http://schemas.openxmlformats.org/drawingml/2006/main">
                    <a:graphicData uri="http://schemas.openxmlformats.org/drawingml/2006/picture">
                      <pic:pic xmlns:pic="http://schemas.openxmlformats.org/drawingml/2006/picture">
                        <pic:nvPicPr>
                          <pic:cNvPr id="0" name="image1.png" descr="ГРБОВИ ЗА МЕМОРАНДУМ"/>
                          <pic:cNvPicPr preferRelativeResize="0"/>
                        </pic:nvPicPr>
                        <pic:blipFill>
                          <a:blip r:embed="rId7"/>
                          <a:srcRect/>
                          <a:stretch>
                            <a:fillRect/>
                          </a:stretch>
                        </pic:blipFill>
                        <pic:spPr>
                          <a:xfrm>
                            <a:off x="0" y="0"/>
                            <a:ext cx="1489710" cy="965200"/>
                          </a:xfrm>
                          <a:prstGeom prst="rect">
                            <a:avLst/>
                          </a:prstGeom>
                          <a:ln/>
                        </pic:spPr>
                      </pic:pic>
                    </a:graphicData>
                  </a:graphic>
                </wp:inline>
              </w:drawing>
            </w:r>
          </w:p>
        </w:tc>
        <w:tc>
          <w:tcPr>
            <w:tcW w:w="3875" w:type="pct"/>
            <w:gridSpan w:val="2"/>
          </w:tcPr>
          <w:p w14:paraId="4C2615BE" w14:textId="77777777" w:rsidR="00A76DC6" w:rsidRPr="001851D0" w:rsidRDefault="00A76DC6">
            <w:pPr>
              <w:tabs>
                <w:tab w:val="center" w:pos="4703"/>
                <w:tab w:val="right" w:pos="9406"/>
              </w:tabs>
              <w:rPr>
                <w:rFonts w:ascii="Calibri" w:eastAsia="Calibri" w:hAnsi="Calibri" w:cs="Calibri"/>
                <w:color w:val="0D0D0D" w:themeColor="text1" w:themeTint="F2"/>
                <w:sz w:val="20"/>
                <w:szCs w:val="20"/>
              </w:rPr>
            </w:pPr>
          </w:p>
          <w:p w14:paraId="6C1CEA0B" w14:textId="77777777" w:rsidR="00A76DC6" w:rsidRPr="001851D0" w:rsidRDefault="00A76DC6">
            <w:pPr>
              <w:tabs>
                <w:tab w:val="center" w:pos="4703"/>
                <w:tab w:val="right" w:pos="9406"/>
              </w:tabs>
              <w:rPr>
                <w:rFonts w:ascii="Calibri" w:eastAsia="Calibri" w:hAnsi="Calibri" w:cs="Calibri"/>
                <w:color w:val="0D0D0D" w:themeColor="text1" w:themeTint="F2"/>
                <w:sz w:val="20"/>
                <w:szCs w:val="20"/>
              </w:rPr>
            </w:pPr>
          </w:p>
          <w:p w14:paraId="2C4BA7E6" w14:textId="77777777" w:rsidR="00A76DC6" w:rsidRPr="001851D0" w:rsidRDefault="003815E3">
            <w:pPr>
              <w:tabs>
                <w:tab w:val="center" w:pos="4703"/>
                <w:tab w:val="right" w:pos="9406"/>
              </w:tabs>
              <w:rPr>
                <w:rFonts w:ascii="Calibri" w:eastAsia="Calibri" w:hAnsi="Calibri" w:cs="Calibri"/>
                <w:color w:val="0D0D0D" w:themeColor="text1" w:themeTint="F2"/>
                <w:sz w:val="20"/>
                <w:szCs w:val="20"/>
              </w:rPr>
            </w:pPr>
            <w:r>
              <w:rPr>
                <w:rFonts w:ascii="Calibri" w:hAnsi="Calibri"/>
                <w:color w:val="0D0D0D" w:themeColor="text1" w:themeTint="F2"/>
                <w:sz w:val="20"/>
                <w:szCs w:val="20"/>
              </w:rPr>
              <w:t>Republica Serbia</w:t>
            </w:r>
          </w:p>
          <w:p w14:paraId="6D74FECA" w14:textId="77777777" w:rsidR="00A76DC6" w:rsidRPr="001851D0" w:rsidRDefault="003815E3">
            <w:pPr>
              <w:rPr>
                <w:rFonts w:ascii="Calibri" w:eastAsia="Calibri" w:hAnsi="Calibri" w:cs="Calibri"/>
                <w:color w:val="0D0D0D" w:themeColor="text1" w:themeTint="F2"/>
                <w:sz w:val="20"/>
                <w:szCs w:val="20"/>
              </w:rPr>
            </w:pPr>
            <w:r>
              <w:rPr>
                <w:rFonts w:ascii="Calibri" w:hAnsi="Calibri"/>
                <w:color w:val="0D0D0D" w:themeColor="text1" w:themeTint="F2"/>
                <w:sz w:val="20"/>
                <w:szCs w:val="20"/>
              </w:rPr>
              <w:t>Provincia Autonomă Voivodina</w:t>
            </w:r>
          </w:p>
          <w:p w14:paraId="3C5F7C3A" w14:textId="77777777" w:rsidR="00A76DC6" w:rsidRPr="001851D0" w:rsidRDefault="003815E3">
            <w:pPr>
              <w:rPr>
                <w:rFonts w:ascii="Calibri" w:eastAsia="Calibri" w:hAnsi="Calibri" w:cs="Calibri"/>
                <w:color w:val="0D0D0D" w:themeColor="text1" w:themeTint="F2"/>
                <w:sz w:val="20"/>
                <w:szCs w:val="20"/>
              </w:rPr>
            </w:pPr>
            <w:r>
              <w:rPr>
                <w:rFonts w:ascii="Calibri" w:hAnsi="Calibri"/>
                <w:b/>
                <w:color w:val="0D0D0D" w:themeColor="text1" w:themeTint="F2"/>
                <w:sz w:val="20"/>
                <w:szCs w:val="20"/>
              </w:rPr>
              <w:t>Secretariatul Provincial pentru Educaţie, Reglementări,</w:t>
            </w:r>
          </w:p>
          <w:p w14:paraId="362D85D4" w14:textId="77777777" w:rsidR="00A76DC6" w:rsidRPr="001851D0" w:rsidRDefault="003815E3">
            <w:pPr>
              <w:rPr>
                <w:rFonts w:ascii="Calibri" w:eastAsia="Calibri" w:hAnsi="Calibri" w:cs="Calibri"/>
                <w:color w:val="0D0D0D" w:themeColor="text1" w:themeTint="F2"/>
                <w:sz w:val="20"/>
                <w:szCs w:val="20"/>
              </w:rPr>
            </w:pPr>
            <w:r>
              <w:rPr>
                <w:rFonts w:ascii="Calibri" w:hAnsi="Calibri"/>
                <w:b/>
                <w:color w:val="0D0D0D" w:themeColor="text1" w:themeTint="F2"/>
                <w:sz w:val="20"/>
                <w:szCs w:val="20"/>
              </w:rPr>
              <w:t>Administraţie şi Minorităţile Naţionale - Comunităţile Naţionale</w:t>
            </w:r>
          </w:p>
          <w:p w14:paraId="0B73D7CE" w14:textId="77777777" w:rsidR="00A76DC6" w:rsidRPr="001851D0" w:rsidRDefault="003815E3">
            <w:pPr>
              <w:tabs>
                <w:tab w:val="center" w:pos="4703"/>
                <w:tab w:val="right" w:pos="9406"/>
              </w:tabs>
              <w:rPr>
                <w:rFonts w:ascii="Calibri" w:eastAsia="Calibri" w:hAnsi="Calibri" w:cs="Calibri"/>
                <w:color w:val="0D0D0D" w:themeColor="text1" w:themeTint="F2"/>
                <w:sz w:val="20"/>
                <w:szCs w:val="20"/>
              </w:rPr>
            </w:pPr>
            <w:r>
              <w:rPr>
                <w:rFonts w:ascii="Calibri" w:hAnsi="Calibri"/>
                <w:color w:val="0D0D0D" w:themeColor="text1" w:themeTint="F2"/>
                <w:sz w:val="20"/>
                <w:szCs w:val="20"/>
              </w:rPr>
              <w:t>Bulevar Mihajla Pupina 16, 21000 Novi Sad</w:t>
            </w:r>
          </w:p>
          <w:p w14:paraId="762ABFBE" w14:textId="663C7F9E" w:rsidR="00A76DC6" w:rsidRPr="001851D0" w:rsidRDefault="008F0F33">
            <w:pPr>
              <w:tabs>
                <w:tab w:val="center" w:pos="4703"/>
                <w:tab w:val="right" w:pos="9406"/>
              </w:tabs>
              <w:rPr>
                <w:rFonts w:ascii="Calibri" w:eastAsia="Calibri" w:hAnsi="Calibri" w:cs="Calibri"/>
                <w:color w:val="0D0D0D" w:themeColor="text1" w:themeTint="F2"/>
                <w:sz w:val="20"/>
                <w:szCs w:val="20"/>
              </w:rPr>
            </w:pPr>
            <w:r>
              <w:rPr>
                <w:rFonts w:ascii="Calibri" w:hAnsi="Calibri"/>
                <w:color w:val="0D0D0D" w:themeColor="text1" w:themeTint="F2"/>
                <w:sz w:val="20"/>
                <w:szCs w:val="20"/>
              </w:rPr>
              <w:t>T: +381 21  487  44 52</w:t>
            </w:r>
          </w:p>
          <w:p w14:paraId="610AC7EB" w14:textId="77777777" w:rsidR="00A76DC6" w:rsidRPr="001851D0" w:rsidRDefault="003815E3">
            <w:pPr>
              <w:tabs>
                <w:tab w:val="center" w:pos="4703"/>
                <w:tab w:val="right" w:pos="9406"/>
              </w:tabs>
              <w:rPr>
                <w:rFonts w:ascii="Calibri" w:eastAsia="Calibri" w:hAnsi="Calibri" w:cs="Calibri"/>
                <w:color w:val="0D0D0D" w:themeColor="text1" w:themeTint="F2"/>
                <w:sz w:val="20"/>
                <w:szCs w:val="20"/>
              </w:rPr>
            </w:pPr>
            <w:r>
              <w:rPr>
                <w:rFonts w:ascii="Calibri" w:hAnsi="Calibri"/>
                <w:color w:val="0D0D0D" w:themeColor="text1" w:themeTint="F2"/>
                <w:sz w:val="20"/>
                <w:szCs w:val="20"/>
              </w:rPr>
              <w:t>ounz@vojvodinа.gov.rs</w:t>
            </w:r>
          </w:p>
        </w:tc>
      </w:tr>
      <w:tr w:rsidR="001851D0" w:rsidRPr="001851D0" w14:paraId="02E817E9" w14:textId="77777777" w:rsidTr="006E7D3B">
        <w:trPr>
          <w:trHeight w:val="305"/>
        </w:trPr>
        <w:tc>
          <w:tcPr>
            <w:tcW w:w="1125" w:type="pct"/>
          </w:tcPr>
          <w:p w14:paraId="40AE300B" w14:textId="77777777" w:rsidR="00A76DC6" w:rsidRPr="001851D0" w:rsidRDefault="00A76DC6">
            <w:pPr>
              <w:tabs>
                <w:tab w:val="center" w:pos="4703"/>
                <w:tab w:val="right" w:pos="9406"/>
              </w:tabs>
              <w:ind w:left="-198" w:firstLine="108"/>
              <w:rPr>
                <w:rFonts w:ascii="Calibri" w:eastAsia="Calibri" w:hAnsi="Calibri" w:cs="Calibri"/>
                <w:color w:val="0D0D0D" w:themeColor="text1" w:themeTint="F2"/>
              </w:rPr>
            </w:pPr>
          </w:p>
        </w:tc>
        <w:tc>
          <w:tcPr>
            <w:tcW w:w="2418" w:type="pct"/>
          </w:tcPr>
          <w:p w14:paraId="7575F1EE" w14:textId="77777777" w:rsidR="00A76DC6" w:rsidRPr="001851D0" w:rsidRDefault="00A76DC6">
            <w:pPr>
              <w:tabs>
                <w:tab w:val="center" w:pos="4703"/>
                <w:tab w:val="right" w:pos="9406"/>
              </w:tabs>
              <w:rPr>
                <w:rFonts w:ascii="Calibri" w:eastAsia="Calibri" w:hAnsi="Calibri" w:cs="Calibri"/>
                <w:color w:val="0D0D0D" w:themeColor="text1" w:themeTint="F2"/>
                <w:sz w:val="20"/>
                <w:szCs w:val="20"/>
              </w:rPr>
            </w:pPr>
          </w:p>
          <w:p w14:paraId="48CF32CB" w14:textId="2BCFDD0B" w:rsidR="00A76DC6" w:rsidRPr="001851D0" w:rsidRDefault="00BD3715">
            <w:pPr>
              <w:tabs>
                <w:tab w:val="center" w:pos="4703"/>
                <w:tab w:val="right" w:pos="9406"/>
              </w:tabs>
              <w:ind w:left="600" w:hanging="600"/>
              <w:rPr>
                <w:rFonts w:ascii="Calibri" w:eastAsia="Calibri" w:hAnsi="Calibri" w:cs="Calibri"/>
                <w:color w:val="0D0D0D" w:themeColor="text1" w:themeTint="F2"/>
                <w:sz w:val="20"/>
                <w:szCs w:val="20"/>
              </w:rPr>
            </w:pPr>
            <w:r>
              <w:rPr>
                <w:rFonts w:ascii="Calibri" w:hAnsi="Calibri"/>
                <w:color w:val="0D0D0D" w:themeColor="text1" w:themeTint="F2"/>
                <w:sz w:val="20"/>
                <w:szCs w:val="20"/>
              </w:rPr>
              <w:t>NUMĂRUL: 004074417 2025 09427 001 001 000 001</w:t>
            </w:r>
          </w:p>
          <w:p w14:paraId="4FDC6EFC" w14:textId="77777777" w:rsidR="00A76DC6" w:rsidRPr="001851D0" w:rsidRDefault="00A76DC6">
            <w:pPr>
              <w:tabs>
                <w:tab w:val="center" w:pos="4703"/>
                <w:tab w:val="right" w:pos="9406"/>
              </w:tabs>
              <w:rPr>
                <w:rFonts w:ascii="Calibri" w:eastAsia="Calibri" w:hAnsi="Calibri" w:cs="Calibri"/>
                <w:color w:val="0D0D0D" w:themeColor="text1" w:themeTint="F2"/>
                <w:sz w:val="20"/>
                <w:szCs w:val="20"/>
              </w:rPr>
            </w:pPr>
          </w:p>
        </w:tc>
        <w:tc>
          <w:tcPr>
            <w:tcW w:w="1457" w:type="pct"/>
          </w:tcPr>
          <w:p w14:paraId="569AA033" w14:textId="77777777" w:rsidR="00A76DC6" w:rsidRPr="001851D0" w:rsidRDefault="00A76DC6">
            <w:pPr>
              <w:tabs>
                <w:tab w:val="center" w:pos="4703"/>
                <w:tab w:val="right" w:pos="9406"/>
              </w:tabs>
              <w:rPr>
                <w:rFonts w:ascii="Calibri" w:eastAsia="Calibri" w:hAnsi="Calibri" w:cs="Calibri"/>
                <w:color w:val="0D0D0D" w:themeColor="text1" w:themeTint="F2"/>
                <w:sz w:val="20"/>
                <w:szCs w:val="20"/>
              </w:rPr>
            </w:pPr>
          </w:p>
          <w:p w14:paraId="05009887" w14:textId="5E08E9FD" w:rsidR="00A76DC6" w:rsidRPr="001851D0" w:rsidRDefault="003815E3" w:rsidP="0013193F">
            <w:pPr>
              <w:tabs>
                <w:tab w:val="center" w:pos="4703"/>
                <w:tab w:val="right" w:pos="9406"/>
              </w:tabs>
              <w:rPr>
                <w:rFonts w:ascii="Calibri" w:eastAsia="Calibri" w:hAnsi="Calibri" w:cs="Calibri"/>
                <w:color w:val="0D0D0D" w:themeColor="text1" w:themeTint="F2"/>
                <w:sz w:val="20"/>
                <w:szCs w:val="20"/>
              </w:rPr>
            </w:pPr>
            <w:r>
              <w:rPr>
                <w:rFonts w:ascii="Calibri" w:hAnsi="Calibri"/>
                <w:color w:val="0D0D0D" w:themeColor="text1" w:themeTint="F2"/>
                <w:sz w:val="20"/>
                <w:szCs w:val="20"/>
              </w:rPr>
              <w:t>DATA: 10.11.2025</w:t>
            </w:r>
          </w:p>
        </w:tc>
      </w:tr>
    </w:tbl>
    <w:p w14:paraId="3B4BE3A9" w14:textId="032BF142" w:rsidR="00A76DC6" w:rsidRPr="001851D0" w:rsidRDefault="003815E3">
      <w:pPr>
        <w:jc w:val="both"/>
        <w:rPr>
          <w:rFonts w:asciiTheme="majorHAnsi" w:eastAsia="Calibri" w:hAnsiTheme="majorHAnsi" w:cstheme="majorHAnsi"/>
          <w:color w:val="0D0D0D" w:themeColor="text1" w:themeTint="F2"/>
          <w:sz w:val="22"/>
          <w:szCs w:val="22"/>
        </w:rPr>
      </w:pPr>
      <w:r>
        <w:rPr>
          <w:rFonts w:asciiTheme="majorHAnsi" w:hAnsiTheme="majorHAnsi"/>
          <w:color w:val="0D0D0D" w:themeColor="text1" w:themeTint="F2"/>
          <w:sz w:val="22"/>
          <w:szCs w:val="22"/>
        </w:rPr>
        <w:t xml:space="preserve">         În baza articolului 8 din Hotărârea Adunării Provinciei privind repartizarea mijloacelor bugetare pentru finanțarea și cofinanțarea activităților de program și proiectelor din domeniul învăţământului elementar și mediu și al nivelului de trai al elevilor din Provincia Autonomă Voivodina ("Buletinul oficial al P.A.V.", nr. 14/2015 și 10/2017) , art. 15 , 16, 24  și 37 din Hotărârea Adunării Provinciei privind administraţia provincială ("Buletinul oficial al P.A.V.", nr. 37/14, 54/14- altă hotărâre, 37/2016, 29/17, 24/19, 66/20, 38/21 și 22/25), articolului 7 din Regulamentul privind repartizarea mijloacelor bugetare ale Secretariatului Provincial pentru Educaţie, Reglementări, Administraţie şi Minorităţile Naţionale – Comunităţile Naţionale pentru finanţarea şi cofinanţarea activităţilor, programelor şi proiectelor consiliilor naţionale ale minorităţilor naţionale în domeniul învăţământului elementar şi mediu („Buletinul oficial al P.A.V.“, nr. 9/16 şi 36/17), conform Concursului pentru finanțarea și cofinanțarea activităților, programelor și proiectelor consiliilor naționale ale minorităților naționale din domeniul învăţământului elementar și mediu  din Provincia Autonomă Voivodina pentru anul 2025 - subvenționarea pregătirii și elaborării testelor şi exerciţiilor în limbile minoritare („Buletinul oficial al P.A.V.”, nr: 56/25), secretarul provincial pentru educaţie, reglementări, administraţie şi minorităţile naţionale - comunităţile naţionale e m i t e </w:t>
      </w:r>
    </w:p>
    <w:p w14:paraId="16834FD0" w14:textId="6AA09BA1" w:rsidR="00A76DC6" w:rsidRPr="001851D0" w:rsidRDefault="00A76DC6">
      <w:pPr>
        <w:jc w:val="both"/>
        <w:rPr>
          <w:rFonts w:asciiTheme="majorHAnsi" w:eastAsia="Calibri" w:hAnsiTheme="majorHAnsi" w:cstheme="majorHAnsi"/>
          <w:color w:val="0D0D0D" w:themeColor="text1" w:themeTint="F2"/>
          <w:sz w:val="22"/>
          <w:szCs w:val="22"/>
          <w:lang w:val="ru-RU"/>
        </w:rPr>
      </w:pPr>
    </w:p>
    <w:p w14:paraId="4699AB5D" w14:textId="77777777" w:rsidR="00A76DC6" w:rsidRPr="001851D0" w:rsidRDefault="003815E3">
      <w:pPr>
        <w:jc w:val="center"/>
        <w:rPr>
          <w:rFonts w:asciiTheme="majorHAnsi" w:eastAsia="Calibri" w:hAnsiTheme="majorHAnsi" w:cstheme="majorHAnsi"/>
          <w:color w:val="0D0D0D" w:themeColor="text1" w:themeTint="F2"/>
          <w:sz w:val="22"/>
          <w:szCs w:val="22"/>
        </w:rPr>
      </w:pPr>
      <w:r>
        <w:rPr>
          <w:rFonts w:asciiTheme="majorHAnsi" w:hAnsiTheme="majorHAnsi"/>
          <w:b/>
          <w:color w:val="0D0D0D" w:themeColor="text1" w:themeTint="F2"/>
          <w:sz w:val="22"/>
          <w:szCs w:val="22"/>
        </w:rPr>
        <w:t>DECIZIA</w:t>
      </w:r>
    </w:p>
    <w:p w14:paraId="65A767C4" w14:textId="0D5D3AC4" w:rsidR="00A76DC6" w:rsidRPr="001851D0" w:rsidRDefault="003815E3" w:rsidP="008F0F33">
      <w:pPr>
        <w:spacing w:after="120"/>
        <w:jc w:val="center"/>
        <w:rPr>
          <w:rFonts w:asciiTheme="majorHAnsi" w:eastAsia="Calibri" w:hAnsiTheme="majorHAnsi" w:cstheme="majorHAnsi"/>
          <w:color w:val="0D0D0D" w:themeColor="text1" w:themeTint="F2"/>
          <w:sz w:val="22"/>
          <w:szCs w:val="22"/>
        </w:rPr>
      </w:pPr>
      <w:r>
        <w:rPr>
          <w:rFonts w:asciiTheme="majorHAnsi" w:hAnsiTheme="majorHAnsi"/>
          <w:b/>
          <w:bCs/>
          <w:color w:val="0D0D0D" w:themeColor="text1" w:themeTint="F2"/>
          <w:sz w:val="22"/>
          <w:szCs w:val="22"/>
        </w:rPr>
        <w:t>PRIVIND REPARTIZAREA MIJLOACELOR BUGETARE ALE SECRETARIATULUI PROVINCIAL PENTRU EDUCAŢIE, REGLEMENTĂRI, ADMINISTRAŢIE ŞI MINORITĂŢILE NAŢIONALE – COMUNITĂŢILE NAŢIONALE PENTRU FINANŢAREA ŞI COFINANŢAREA ACTIVITĂŢILOR, PROGRAMELOR ŞI PROIECTELOR CONSILIILOR NAŢIONALE ALE MINORITĂŢILOR NAŢIONALE ÎN DOMENIUL ÎNVĂȚĂMÂNTULUI ELEMENTAR DIN P.A. VOIVODINA ÎN ANUL 2025</w:t>
      </w:r>
      <w:r>
        <w:rPr>
          <w:rFonts w:asciiTheme="majorHAnsi" w:hAnsiTheme="majorHAnsi"/>
          <w:b/>
          <w:color w:val="0D0D0D" w:themeColor="text1" w:themeTint="F2"/>
          <w:sz w:val="22"/>
          <w:szCs w:val="22"/>
        </w:rPr>
        <w:t xml:space="preserve"> –  DOTAREA PREGĂTIRII ŞI REDACTĂRII TESTELOR ŞI EXERCIŢIILOR ÎN LIMBILE MINORITARE</w:t>
      </w:r>
    </w:p>
    <w:p w14:paraId="6244CA54" w14:textId="15D53094" w:rsidR="00A76DC6" w:rsidRPr="001851D0" w:rsidRDefault="008F0F33" w:rsidP="008F0F33">
      <w:pPr>
        <w:spacing w:after="120"/>
        <w:jc w:val="center"/>
        <w:rPr>
          <w:rFonts w:asciiTheme="majorHAnsi" w:eastAsia="Calibri" w:hAnsiTheme="majorHAnsi" w:cstheme="majorHAnsi"/>
          <w:color w:val="0D0D0D" w:themeColor="text1" w:themeTint="F2"/>
          <w:sz w:val="22"/>
          <w:szCs w:val="22"/>
        </w:rPr>
      </w:pPr>
      <w:r>
        <w:rPr>
          <w:rFonts w:asciiTheme="majorHAnsi" w:hAnsiTheme="majorHAnsi"/>
          <w:color w:val="0D0D0D" w:themeColor="text1" w:themeTint="F2"/>
          <w:sz w:val="22"/>
          <w:szCs w:val="22"/>
        </w:rPr>
        <w:t>I</w:t>
      </w:r>
    </w:p>
    <w:p w14:paraId="6497D6A3" w14:textId="5D352527" w:rsidR="00A76DC6" w:rsidRPr="001851D0" w:rsidRDefault="003815E3" w:rsidP="008F0F33">
      <w:pPr>
        <w:spacing w:after="120"/>
        <w:jc w:val="both"/>
        <w:rPr>
          <w:rFonts w:asciiTheme="majorHAnsi" w:eastAsia="Calibri" w:hAnsiTheme="majorHAnsi" w:cstheme="majorHAnsi"/>
          <w:color w:val="0D0D0D" w:themeColor="text1" w:themeTint="F2"/>
          <w:sz w:val="22"/>
          <w:szCs w:val="22"/>
        </w:rPr>
      </w:pPr>
      <w:r>
        <w:rPr>
          <w:rFonts w:asciiTheme="majorHAnsi" w:hAnsiTheme="majorHAnsi"/>
          <w:color w:val="0D0D0D" w:themeColor="text1" w:themeTint="F2"/>
          <w:sz w:val="22"/>
          <w:szCs w:val="22"/>
        </w:rPr>
        <w:t xml:space="preserve">         Prin prezenta decizie se stabileşte repartizarea mijloacelor bugetare ale Secretariatului Provincial pentru Educaţie, Reglementări, Administraţie şi Minorităţile Naţionale - Comunităţile Naţionale (în continuare: Secretariatul) conform Concursului pentru finanțarea și cofinanțarea activităților, programelor și proiectelor consiliilor naţionale ale minorităţilor naţionale în domeniul învăţământului elementar şi mediu  în P.A. Voivodina pentru anul 2025 dotarea pregătirii și redactării testelor și exercițiilor în limbile minoritare numărul: 004074417 2025 09427 001 001 000 001 din 10.10.2025 (în continuare: Concurs) din domeniul învăţământului elementar și mediu. </w:t>
      </w:r>
    </w:p>
    <w:p w14:paraId="30121F6E" w14:textId="7E6A78A3" w:rsidR="00A76DC6" w:rsidRPr="001851D0" w:rsidRDefault="008F0F33" w:rsidP="008F0F33">
      <w:pPr>
        <w:spacing w:after="120"/>
        <w:jc w:val="center"/>
        <w:rPr>
          <w:rFonts w:asciiTheme="majorHAnsi" w:eastAsia="Calibri" w:hAnsiTheme="majorHAnsi" w:cstheme="majorHAnsi"/>
          <w:color w:val="0D0D0D" w:themeColor="text1" w:themeTint="F2"/>
          <w:sz w:val="22"/>
          <w:szCs w:val="22"/>
        </w:rPr>
      </w:pPr>
      <w:r>
        <w:rPr>
          <w:rFonts w:asciiTheme="majorHAnsi" w:hAnsiTheme="majorHAnsi"/>
          <w:color w:val="0D0D0D" w:themeColor="text1" w:themeTint="F2"/>
          <w:sz w:val="22"/>
          <w:szCs w:val="22"/>
        </w:rPr>
        <w:t>II</w:t>
      </w:r>
    </w:p>
    <w:p w14:paraId="424C8E3C" w14:textId="030C69A5" w:rsidR="00A76DC6" w:rsidRPr="001851D0" w:rsidRDefault="00A14A41" w:rsidP="008F0F33">
      <w:pPr>
        <w:spacing w:after="120"/>
        <w:ind w:firstLine="360"/>
        <w:jc w:val="both"/>
        <w:rPr>
          <w:rFonts w:asciiTheme="majorHAnsi" w:eastAsia="Calibri" w:hAnsiTheme="majorHAnsi" w:cstheme="majorHAnsi"/>
          <w:color w:val="0D0D0D" w:themeColor="text1" w:themeTint="F2"/>
          <w:sz w:val="22"/>
          <w:szCs w:val="22"/>
        </w:rPr>
      </w:pPr>
      <w:r>
        <w:rPr>
          <w:rFonts w:asciiTheme="majorHAnsi" w:hAnsiTheme="majorHAnsi"/>
          <w:color w:val="0D0D0D" w:themeColor="text1" w:themeTint="F2"/>
          <w:sz w:val="22"/>
          <w:szCs w:val="22"/>
        </w:rPr>
        <w:t>Mijloacele destinate în baza Concursului din domeniul învăţământului elementar şi mediu pentru activități, programe și proiecte - dotarea pregătirii și redactării testelor și exercițiilor în limbile minoritare sunt în cuantum de 600.000,00 dinari, în domeniul învățământului elementar 470.000,00 dinari și 130.000,00 dinari în domeniul învățământului mediu, și prin prezenta decizie se repartizează mijloacele în cuantum de 600.000,00 dinari, în domeniul învățământului elementar 470.000,00 dinari și 130.000,00 dinari în domeniul învățământului mediu.</w:t>
      </w:r>
    </w:p>
    <w:p w14:paraId="2EFD306C" w14:textId="3772824D" w:rsidR="006E7D3B" w:rsidRPr="001851D0" w:rsidRDefault="00A14A41" w:rsidP="008F0F33">
      <w:pPr>
        <w:spacing w:after="120"/>
        <w:jc w:val="both"/>
        <w:rPr>
          <w:rFonts w:asciiTheme="majorHAnsi" w:eastAsia="Calibri" w:hAnsiTheme="majorHAnsi" w:cstheme="majorHAnsi"/>
          <w:color w:val="0D0D0D" w:themeColor="text1" w:themeTint="F2"/>
          <w:sz w:val="22"/>
          <w:szCs w:val="22"/>
        </w:rPr>
      </w:pPr>
      <w:r>
        <w:rPr>
          <w:rFonts w:asciiTheme="majorHAnsi" w:hAnsiTheme="majorHAnsi"/>
          <w:color w:val="0D0D0D" w:themeColor="text1" w:themeTint="F2"/>
          <w:sz w:val="22"/>
          <w:szCs w:val="22"/>
        </w:rPr>
        <w:tab/>
        <w:t>Mijloacele se aprobă consiliilor naţionale ale minorităţilor naţionale (în continuare: Beneficiarii) în conformitate cu Tabela numărul 1 și Tabela numărul 2.</w:t>
      </w:r>
    </w:p>
    <w:p w14:paraId="156C03C5" w14:textId="77777777" w:rsidR="008F0F33" w:rsidRPr="001851D0" w:rsidRDefault="008F0F33">
      <w:pPr>
        <w:rPr>
          <w:rFonts w:asciiTheme="majorHAnsi" w:hAnsiTheme="majorHAnsi" w:cstheme="majorHAnsi"/>
          <w:color w:val="0D0D0D" w:themeColor="text1" w:themeTint="F2"/>
          <w:sz w:val="22"/>
          <w:szCs w:val="22"/>
        </w:rPr>
      </w:pPr>
      <w:r>
        <w:br w:type="page"/>
      </w:r>
    </w:p>
    <w:p w14:paraId="4CC5D92F" w14:textId="13CDAF18" w:rsidR="006A4080" w:rsidRPr="001851D0" w:rsidRDefault="006A4080" w:rsidP="006A4080">
      <w:pPr>
        <w:jc w:val="both"/>
        <w:rPr>
          <w:rFonts w:asciiTheme="majorHAnsi" w:hAnsiTheme="majorHAnsi" w:cstheme="majorHAnsi"/>
          <w:color w:val="0D0D0D" w:themeColor="text1" w:themeTint="F2"/>
          <w:sz w:val="22"/>
          <w:szCs w:val="22"/>
        </w:rPr>
      </w:pPr>
      <w:r>
        <w:rPr>
          <w:rFonts w:asciiTheme="majorHAnsi" w:hAnsiTheme="majorHAnsi"/>
          <w:color w:val="0D0D0D" w:themeColor="text1" w:themeTint="F2"/>
          <w:sz w:val="22"/>
          <w:szCs w:val="22"/>
        </w:rPr>
        <w:lastRenderedPageBreak/>
        <w:t>Tabela numărul 1: Repartizarea conform Concursului pentru finanțarea și cofinanțarea activităților, programelor și proiectelor consiliilor naţionale ale minorităţilor naţionale în domeniul învăţământului elementar şi mediu în P.A. Voivodina pentru anul 2025 - dotarea pregătirii și redactării testelor și exercițiilor în limbile minoritare în domeniul învăţământului elementar</w:t>
      </w:r>
    </w:p>
    <w:p w14:paraId="5D29B604" w14:textId="77777777" w:rsidR="006A4080" w:rsidRPr="001851D0" w:rsidRDefault="006A4080" w:rsidP="006A4080">
      <w:pPr>
        <w:ind w:left="643"/>
        <w:jc w:val="both"/>
        <w:rPr>
          <w:rFonts w:asciiTheme="majorHAnsi" w:hAnsiTheme="majorHAnsi" w:cstheme="majorHAnsi"/>
          <w:color w:val="0D0D0D" w:themeColor="text1" w:themeTint="F2"/>
          <w:sz w:val="22"/>
          <w:szCs w:val="22"/>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551"/>
        <w:gridCol w:w="3076"/>
      </w:tblGrid>
      <w:tr w:rsidR="001851D0" w:rsidRPr="00C41E55" w14:paraId="0E8C839A" w14:textId="77777777" w:rsidTr="008F0F33">
        <w:trPr>
          <w:trHeight w:val="315"/>
        </w:trPr>
        <w:tc>
          <w:tcPr>
            <w:tcW w:w="662" w:type="pct"/>
            <w:shd w:val="clear" w:color="auto" w:fill="auto"/>
          </w:tcPr>
          <w:p w14:paraId="499A62A0" w14:textId="77777777" w:rsidR="006A4080" w:rsidRPr="00C41E55" w:rsidRDefault="006A4080" w:rsidP="006E7D3B">
            <w:pPr>
              <w:jc w:val="center"/>
              <w:rPr>
                <w:rFonts w:ascii="Calibri" w:hAnsi="Calibri" w:cs="Calibri"/>
                <w:color w:val="0D0D0D" w:themeColor="text1" w:themeTint="F2"/>
                <w:sz w:val="22"/>
                <w:szCs w:val="22"/>
              </w:rPr>
            </w:pPr>
            <w:r>
              <w:rPr>
                <w:rFonts w:ascii="Calibri" w:hAnsi="Calibri"/>
                <w:color w:val="0D0D0D" w:themeColor="text1" w:themeTint="F2"/>
                <w:sz w:val="22"/>
                <w:szCs w:val="22"/>
              </w:rPr>
              <w:t>Numărul curent</w:t>
            </w:r>
          </w:p>
        </w:tc>
        <w:tc>
          <w:tcPr>
            <w:tcW w:w="2952" w:type="pct"/>
            <w:shd w:val="clear" w:color="auto" w:fill="auto"/>
            <w:noWrap/>
            <w:vAlign w:val="bottom"/>
          </w:tcPr>
          <w:p w14:paraId="42C67D8D" w14:textId="77777777" w:rsidR="006A4080" w:rsidRPr="00C41E55" w:rsidRDefault="006A4080" w:rsidP="006E7D3B">
            <w:pPr>
              <w:jc w:val="center"/>
              <w:rPr>
                <w:rFonts w:ascii="Calibri" w:hAnsi="Calibri" w:cs="Calibri"/>
                <w:color w:val="0D0D0D" w:themeColor="text1" w:themeTint="F2"/>
                <w:sz w:val="22"/>
                <w:szCs w:val="22"/>
              </w:rPr>
            </w:pPr>
            <w:r>
              <w:rPr>
                <w:rFonts w:ascii="Calibri" w:hAnsi="Calibri"/>
                <w:color w:val="0D0D0D" w:themeColor="text1" w:themeTint="F2"/>
                <w:sz w:val="22"/>
                <w:szCs w:val="22"/>
              </w:rPr>
              <w:t>Consiliile naţionale</w:t>
            </w:r>
          </w:p>
          <w:p w14:paraId="53CB5380" w14:textId="77777777" w:rsidR="006A4080" w:rsidRPr="00C41E55" w:rsidRDefault="006A4080" w:rsidP="006E7D3B">
            <w:pPr>
              <w:jc w:val="center"/>
              <w:rPr>
                <w:rFonts w:ascii="Calibri" w:hAnsi="Calibri" w:cs="Calibri"/>
                <w:color w:val="0D0D0D" w:themeColor="text1" w:themeTint="F2"/>
                <w:sz w:val="22"/>
                <w:szCs w:val="22"/>
                <w:lang w:val="sr-Cyrl-RS"/>
              </w:rPr>
            </w:pPr>
          </w:p>
        </w:tc>
        <w:tc>
          <w:tcPr>
            <w:tcW w:w="1386" w:type="pct"/>
            <w:shd w:val="clear" w:color="auto" w:fill="auto"/>
            <w:vAlign w:val="bottom"/>
          </w:tcPr>
          <w:p w14:paraId="0EC10763" w14:textId="0334E278" w:rsidR="006A4080" w:rsidRPr="00C41E55" w:rsidRDefault="009D68FA" w:rsidP="009D68FA">
            <w:pPr>
              <w:jc w:val="center"/>
              <w:rPr>
                <w:rFonts w:ascii="Calibri" w:hAnsi="Calibri" w:cs="Calibri"/>
                <w:color w:val="0D0D0D" w:themeColor="text1" w:themeTint="F2"/>
                <w:sz w:val="22"/>
                <w:szCs w:val="22"/>
              </w:rPr>
            </w:pPr>
            <w:r>
              <w:rPr>
                <w:rFonts w:ascii="Calibri" w:hAnsi="Calibri"/>
                <w:color w:val="0D0D0D" w:themeColor="text1" w:themeTint="F2"/>
                <w:sz w:val="22"/>
                <w:szCs w:val="22"/>
              </w:rPr>
              <w:t>Suma</w:t>
            </w:r>
          </w:p>
          <w:p w14:paraId="3A4F4811" w14:textId="5DDD05D0" w:rsidR="009D68FA" w:rsidRPr="00C41E55" w:rsidRDefault="009D68FA" w:rsidP="009D68FA">
            <w:pPr>
              <w:rPr>
                <w:rFonts w:ascii="Calibri" w:hAnsi="Calibri" w:cs="Calibri"/>
                <w:color w:val="0D0D0D" w:themeColor="text1" w:themeTint="F2"/>
                <w:sz w:val="22"/>
                <w:szCs w:val="22"/>
                <w:lang w:val="sr-Cyrl-RS"/>
              </w:rPr>
            </w:pPr>
          </w:p>
        </w:tc>
      </w:tr>
      <w:tr w:rsidR="00C41E55" w:rsidRPr="00C41E55" w14:paraId="1762EBAD" w14:textId="77777777" w:rsidTr="002A6B13">
        <w:trPr>
          <w:trHeight w:val="315"/>
        </w:trPr>
        <w:tc>
          <w:tcPr>
            <w:tcW w:w="662" w:type="pct"/>
            <w:shd w:val="clear" w:color="auto" w:fill="auto"/>
          </w:tcPr>
          <w:p w14:paraId="3FA1731A" w14:textId="0F18E20A" w:rsidR="00C41E55" w:rsidRPr="00C41E55" w:rsidRDefault="00C41E55" w:rsidP="00C41E55">
            <w:pPr>
              <w:jc w:val="center"/>
              <w:rPr>
                <w:rFonts w:ascii="Calibri" w:hAnsi="Calibri" w:cs="Calibri"/>
                <w:color w:val="0D0D0D" w:themeColor="text1" w:themeTint="F2"/>
                <w:sz w:val="22"/>
                <w:szCs w:val="22"/>
              </w:rPr>
            </w:pPr>
            <w:r>
              <w:rPr>
                <w:rFonts w:ascii="Calibri" w:hAnsi="Calibri"/>
                <w:sz w:val="22"/>
                <w:szCs w:val="22"/>
              </w:rPr>
              <w:t>1.</w:t>
            </w:r>
          </w:p>
        </w:tc>
        <w:tc>
          <w:tcPr>
            <w:tcW w:w="2952" w:type="pct"/>
            <w:shd w:val="clear" w:color="auto" w:fill="auto"/>
            <w:noWrap/>
            <w:hideMark/>
          </w:tcPr>
          <w:p w14:paraId="2FC98337" w14:textId="618B2FB7" w:rsidR="00C41E55" w:rsidRPr="00C41E55" w:rsidRDefault="00C41E55" w:rsidP="00C41E55">
            <w:pPr>
              <w:rPr>
                <w:rFonts w:ascii="Calibri" w:hAnsi="Calibri" w:cs="Calibri"/>
                <w:color w:val="0D0D0D" w:themeColor="text1" w:themeTint="F2"/>
                <w:sz w:val="22"/>
                <w:szCs w:val="22"/>
              </w:rPr>
            </w:pPr>
            <w:r>
              <w:rPr>
                <w:rFonts w:ascii="Calibri" w:hAnsi="Calibri"/>
                <w:sz w:val="22"/>
                <w:szCs w:val="22"/>
              </w:rPr>
              <w:t>Consiliul Naţional al Minorităţii Naţionale Maghiare</w:t>
            </w:r>
          </w:p>
        </w:tc>
        <w:tc>
          <w:tcPr>
            <w:tcW w:w="1386" w:type="pct"/>
            <w:shd w:val="clear" w:color="auto" w:fill="auto"/>
          </w:tcPr>
          <w:p w14:paraId="60BB957E" w14:textId="5EF0AFBD" w:rsidR="00C41E55" w:rsidRPr="00C41E55" w:rsidRDefault="00C41E55" w:rsidP="00C41E55">
            <w:pPr>
              <w:jc w:val="right"/>
              <w:rPr>
                <w:rFonts w:ascii="Calibri" w:hAnsi="Calibri" w:cs="Calibri"/>
                <w:color w:val="0D0D0D" w:themeColor="text1" w:themeTint="F2"/>
                <w:sz w:val="22"/>
                <w:szCs w:val="22"/>
              </w:rPr>
            </w:pPr>
            <w:r>
              <w:rPr>
                <w:rFonts w:ascii="Calibri" w:hAnsi="Calibri"/>
                <w:sz w:val="22"/>
                <w:szCs w:val="22"/>
              </w:rPr>
              <w:t>178.930,42</w:t>
            </w:r>
          </w:p>
        </w:tc>
      </w:tr>
      <w:tr w:rsidR="00C41E55" w:rsidRPr="00C41E55" w14:paraId="4D36AF1E" w14:textId="77777777" w:rsidTr="002A6B13">
        <w:trPr>
          <w:trHeight w:val="315"/>
        </w:trPr>
        <w:tc>
          <w:tcPr>
            <w:tcW w:w="662" w:type="pct"/>
            <w:shd w:val="clear" w:color="auto" w:fill="auto"/>
          </w:tcPr>
          <w:p w14:paraId="48F80AB6" w14:textId="67724D80" w:rsidR="00C41E55" w:rsidRPr="00C41E55" w:rsidRDefault="00C41E55" w:rsidP="00C41E55">
            <w:pPr>
              <w:jc w:val="center"/>
              <w:rPr>
                <w:rFonts w:ascii="Calibri" w:hAnsi="Calibri" w:cs="Calibri"/>
                <w:color w:val="0D0D0D" w:themeColor="text1" w:themeTint="F2"/>
                <w:sz w:val="22"/>
                <w:szCs w:val="22"/>
              </w:rPr>
            </w:pPr>
            <w:r>
              <w:rPr>
                <w:rFonts w:ascii="Calibri" w:hAnsi="Calibri"/>
                <w:sz w:val="22"/>
                <w:szCs w:val="22"/>
              </w:rPr>
              <w:t>2.</w:t>
            </w:r>
          </w:p>
        </w:tc>
        <w:tc>
          <w:tcPr>
            <w:tcW w:w="2952" w:type="pct"/>
            <w:shd w:val="clear" w:color="auto" w:fill="auto"/>
            <w:noWrap/>
            <w:hideMark/>
          </w:tcPr>
          <w:p w14:paraId="6EBFD12A" w14:textId="47DCFD40" w:rsidR="00C41E55" w:rsidRPr="00C41E55" w:rsidRDefault="00C41E55" w:rsidP="00C41E55">
            <w:pPr>
              <w:rPr>
                <w:rFonts w:ascii="Calibri" w:hAnsi="Calibri" w:cs="Calibri"/>
                <w:color w:val="0D0D0D" w:themeColor="text1" w:themeTint="F2"/>
                <w:sz w:val="22"/>
                <w:szCs w:val="22"/>
              </w:rPr>
            </w:pPr>
            <w:r>
              <w:rPr>
                <w:rFonts w:ascii="Calibri" w:hAnsi="Calibri"/>
                <w:sz w:val="22"/>
                <w:szCs w:val="22"/>
              </w:rPr>
              <w:t>Consiliul Naţional al Minorităţii Naţionale Române</w:t>
            </w:r>
          </w:p>
        </w:tc>
        <w:tc>
          <w:tcPr>
            <w:tcW w:w="1386" w:type="pct"/>
            <w:shd w:val="clear" w:color="auto" w:fill="auto"/>
          </w:tcPr>
          <w:p w14:paraId="4FC82B6C" w14:textId="1A9FB4AE" w:rsidR="00C41E55" w:rsidRPr="00C41E55" w:rsidRDefault="00C41E55" w:rsidP="00C41E55">
            <w:pPr>
              <w:jc w:val="right"/>
              <w:rPr>
                <w:rFonts w:ascii="Calibri" w:hAnsi="Calibri" w:cs="Calibri"/>
                <w:color w:val="0D0D0D" w:themeColor="text1" w:themeTint="F2"/>
                <w:sz w:val="22"/>
                <w:szCs w:val="22"/>
              </w:rPr>
            </w:pPr>
            <w:r>
              <w:rPr>
                <w:rFonts w:ascii="Calibri" w:hAnsi="Calibri"/>
                <w:sz w:val="22"/>
                <w:szCs w:val="22"/>
              </w:rPr>
              <w:t>63.645,88</w:t>
            </w:r>
          </w:p>
        </w:tc>
      </w:tr>
      <w:tr w:rsidR="00C41E55" w:rsidRPr="00C41E55" w14:paraId="6A823FE5" w14:textId="77777777" w:rsidTr="002A6B13">
        <w:trPr>
          <w:trHeight w:val="315"/>
        </w:trPr>
        <w:tc>
          <w:tcPr>
            <w:tcW w:w="662" w:type="pct"/>
            <w:shd w:val="clear" w:color="auto" w:fill="auto"/>
          </w:tcPr>
          <w:p w14:paraId="45E8E66B" w14:textId="577BB5FE" w:rsidR="00C41E55" w:rsidRPr="00C41E55" w:rsidRDefault="00C41E55" w:rsidP="00C41E55">
            <w:pPr>
              <w:jc w:val="center"/>
              <w:rPr>
                <w:rFonts w:ascii="Calibri" w:hAnsi="Calibri" w:cs="Calibri"/>
                <w:color w:val="0D0D0D" w:themeColor="text1" w:themeTint="F2"/>
                <w:sz w:val="22"/>
                <w:szCs w:val="22"/>
              </w:rPr>
            </w:pPr>
            <w:r>
              <w:rPr>
                <w:rFonts w:ascii="Calibri" w:hAnsi="Calibri"/>
                <w:sz w:val="22"/>
                <w:szCs w:val="22"/>
              </w:rPr>
              <w:t>3.</w:t>
            </w:r>
          </w:p>
        </w:tc>
        <w:tc>
          <w:tcPr>
            <w:tcW w:w="2952" w:type="pct"/>
            <w:shd w:val="clear" w:color="auto" w:fill="auto"/>
            <w:noWrap/>
            <w:hideMark/>
          </w:tcPr>
          <w:p w14:paraId="12DC6C84" w14:textId="1D4D2F58" w:rsidR="00C41E55" w:rsidRPr="00C41E55" w:rsidRDefault="00C41E55" w:rsidP="00C41E55">
            <w:pPr>
              <w:rPr>
                <w:rFonts w:ascii="Calibri" w:hAnsi="Calibri" w:cs="Calibri"/>
                <w:color w:val="0D0D0D" w:themeColor="text1" w:themeTint="F2"/>
                <w:sz w:val="22"/>
                <w:szCs w:val="22"/>
              </w:rPr>
            </w:pPr>
            <w:r>
              <w:rPr>
                <w:rFonts w:ascii="Calibri" w:hAnsi="Calibri"/>
                <w:sz w:val="22"/>
                <w:szCs w:val="22"/>
              </w:rPr>
              <w:t>Consiliului Naţional al Minorităţii Naţionale Rutene</w:t>
            </w:r>
          </w:p>
        </w:tc>
        <w:tc>
          <w:tcPr>
            <w:tcW w:w="1386" w:type="pct"/>
            <w:shd w:val="clear" w:color="auto" w:fill="auto"/>
          </w:tcPr>
          <w:p w14:paraId="2D3BCF08" w14:textId="5C69E3B8" w:rsidR="00C41E55" w:rsidRPr="00C41E55" w:rsidRDefault="00C41E55" w:rsidP="00C41E55">
            <w:pPr>
              <w:jc w:val="right"/>
              <w:rPr>
                <w:rFonts w:ascii="Calibri" w:hAnsi="Calibri" w:cs="Calibri"/>
                <w:color w:val="0D0D0D" w:themeColor="text1" w:themeTint="F2"/>
                <w:sz w:val="22"/>
                <w:szCs w:val="22"/>
              </w:rPr>
            </w:pPr>
            <w:r>
              <w:rPr>
                <w:rFonts w:ascii="Calibri" w:hAnsi="Calibri"/>
                <w:sz w:val="22"/>
                <w:szCs w:val="22"/>
              </w:rPr>
              <w:t>47.241,70</w:t>
            </w:r>
          </w:p>
        </w:tc>
      </w:tr>
      <w:tr w:rsidR="00C41E55" w:rsidRPr="00C41E55" w14:paraId="48F1E15F" w14:textId="77777777" w:rsidTr="002A6B13">
        <w:trPr>
          <w:trHeight w:val="315"/>
        </w:trPr>
        <w:tc>
          <w:tcPr>
            <w:tcW w:w="662" w:type="pct"/>
            <w:shd w:val="clear" w:color="auto" w:fill="auto"/>
          </w:tcPr>
          <w:p w14:paraId="21DA13CD" w14:textId="132AF025" w:rsidR="00C41E55" w:rsidRPr="00C41E55" w:rsidRDefault="00C41E55" w:rsidP="00C41E55">
            <w:pPr>
              <w:jc w:val="center"/>
              <w:rPr>
                <w:rFonts w:ascii="Calibri" w:hAnsi="Calibri" w:cs="Calibri"/>
                <w:color w:val="0D0D0D" w:themeColor="text1" w:themeTint="F2"/>
                <w:sz w:val="22"/>
                <w:szCs w:val="22"/>
              </w:rPr>
            </w:pPr>
            <w:r>
              <w:rPr>
                <w:rFonts w:ascii="Calibri" w:hAnsi="Calibri"/>
                <w:sz w:val="22"/>
                <w:szCs w:val="22"/>
              </w:rPr>
              <w:t>4.</w:t>
            </w:r>
          </w:p>
        </w:tc>
        <w:tc>
          <w:tcPr>
            <w:tcW w:w="2952" w:type="pct"/>
            <w:shd w:val="clear" w:color="auto" w:fill="auto"/>
            <w:noWrap/>
            <w:hideMark/>
          </w:tcPr>
          <w:p w14:paraId="4636709F" w14:textId="75A04267" w:rsidR="00C41E55" w:rsidRPr="00C41E55" w:rsidRDefault="00C41E55" w:rsidP="00C41E55">
            <w:pPr>
              <w:rPr>
                <w:rFonts w:ascii="Calibri" w:hAnsi="Calibri" w:cs="Calibri"/>
                <w:color w:val="0D0D0D" w:themeColor="text1" w:themeTint="F2"/>
                <w:sz w:val="22"/>
                <w:szCs w:val="22"/>
              </w:rPr>
            </w:pPr>
            <w:r>
              <w:rPr>
                <w:rFonts w:ascii="Calibri" w:hAnsi="Calibri"/>
                <w:sz w:val="22"/>
                <w:szCs w:val="22"/>
              </w:rPr>
              <w:t>Consiliului Naţional al Minorităţii Naţionale Slovace</w:t>
            </w:r>
          </w:p>
        </w:tc>
        <w:tc>
          <w:tcPr>
            <w:tcW w:w="1386" w:type="pct"/>
            <w:shd w:val="clear" w:color="auto" w:fill="auto"/>
          </w:tcPr>
          <w:p w14:paraId="318B52BD" w14:textId="153ED8FF" w:rsidR="00C41E55" w:rsidRPr="00C41E55" w:rsidRDefault="00C41E55" w:rsidP="00C41E55">
            <w:pPr>
              <w:jc w:val="right"/>
              <w:rPr>
                <w:rFonts w:ascii="Calibri" w:hAnsi="Calibri" w:cs="Calibri"/>
                <w:color w:val="0D0D0D" w:themeColor="text1" w:themeTint="F2"/>
                <w:sz w:val="22"/>
                <w:szCs w:val="22"/>
              </w:rPr>
            </w:pPr>
            <w:r>
              <w:rPr>
                <w:rFonts w:ascii="Calibri" w:hAnsi="Calibri"/>
                <w:sz w:val="22"/>
                <w:szCs w:val="22"/>
              </w:rPr>
              <w:t>88.251,28</w:t>
            </w:r>
          </w:p>
        </w:tc>
      </w:tr>
      <w:tr w:rsidR="00C41E55" w:rsidRPr="00C41E55" w14:paraId="4ADEE625" w14:textId="77777777" w:rsidTr="002A6B13">
        <w:trPr>
          <w:trHeight w:val="315"/>
        </w:trPr>
        <w:tc>
          <w:tcPr>
            <w:tcW w:w="662" w:type="pct"/>
            <w:shd w:val="clear" w:color="auto" w:fill="auto"/>
          </w:tcPr>
          <w:p w14:paraId="025FC2A5" w14:textId="4843D6E3" w:rsidR="00C41E55" w:rsidRPr="00C41E55" w:rsidRDefault="00C41E55" w:rsidP="00C41E55">
            <w:pPr>
              <w:jc w:val="center"/>
              <w:rPr>
                <w:rFonts w:ascii="Calibri" w:hAnsi="Calibri" w:cs="Calibri"/>
                <w:color w:val="0D0D0D" w:themeColor="text1" w:themeTint="F2"/>
                <w:sz w:val="22"/>
                <w:szCs w:val="22"/>
              </w:rPr>
            </w:pPr>
            <w:r>
              <w:rPr>
                <w:rFonts w:ascii="Calibri" w:hAnsi="Calibri"/>
                <w:sz w:val="22"/>
                <w:szCs w:val="22"/>
              </w:rPr>
              <w:t>5.</w:t>
            </w:r>
          </w:p>
        </w:tc>
        <w:tc>
          <w:tcPr>
            <w:tcW w:w="2952" w:type="pct"/>
            <w:shd w:val="clear" w:color="auto" w:fill="auto"/>
            <w:noWrap/>
            <w:hideMark/>
          </w:tcPr>
          <w:p w14:paraId="2EBAF235" w14:textId="6BE4130D" w:rsidR="00C41E55" w:rsidRPr="00C41E55" w:rsidRDefault="00C41E55" w:rsidP="00C41E55">
            <w:pPr>
              <w:rPr>
                <w:rFonts w:ascii="Calibri" w:hAnsi="Calibri" w:cs="Calibri"/>
                <w:color w:val="0D0D0D" w:themeColor="text1" w:themeTint="F2"/>
                <w:sz w:val="22"/>
                <w:szCs w:val="22"/>
              </w:rPr>
            </w:pPr>
            <w:r>
              <w:rPr>
                <w:rFonts w:ascii="Calibri" w:hAnsi="Calibri"/>
                <w:sz w:val="22"/>
                <w:szCs w:val="22"/>
              </w:rPr>
              <w:t>Consiliul Naţional al Minorităţii Naţionale Croate</w:t>
            </w:r>
          </w:p>
        </w:tc>
        <w:tc>
          <w:tcPr>
            <w:tcW w:w="1386" w:type="pct"/>
            <w:shd w:val="clear" w:color="auto" w:fill="auto"/>
          </w:tcPr>
          <w:p w14:paraId="54EAB2EC" w14:textId="67ECE129" w:rsidR="00C41E55" w:rsidRPr="00C41E55" w:rsidRDefault="00C41E55" w:rsidP="00C41E55">
            <w:pPr>
              <w:jc w:val="right"/>
              <w:rPr>
                <w:rFonts w:ascii="Calibri" w:hAnsi="Calibri" w:cs="Calibri"/>
                <w:color w:val="0D0D0D" w:themeColor="text1" w:themeTint="F2"/>
                <w:sz w:val="22"/>
                <w:szCs w:val="22"/>
              </w:rPr>
            </w:pPr>
            <w:r>
              <w:rPr>
                <w:rFonts w:ascii="Calibri" w:hAnsi="Calibri"/>
                <w:sz w:val="22"/>
                <w:szCs w:val="22"/>
              </w:rPr>
              <w:t>91.930,72</w:t>
            </w:r>
          </w:p>
        </w:tc>
      </w:tr>
      <w:tr w:rsidR="006A4080" w:rsidRPr="00C41E55" w14:paraId="453FEE38" w14:textId="77777777" w:rsidTr="008F0F33">
        <w:trPr>
          <w:trHeight w:val="315"/>
        </w:trPr>
        <w:tc>
          <w:tcPr>
            <w:tcW w:w="662" w:type="pct"/>
            <w:shd w:val="clear" w:color="auto" w:fill="auto"/>
          </w:tcPr>
          <w:p w14:paraId="642FEE2F" w14:textId="77777777" w:rsidR="006A4080" w:rsidRPr="00C41E55" w:rsidRDefault="006A4080" w:rsidP="001472A4">
            <w:pPr>
              <w:rPr>
                <w:rFonts w:ascii="Calibri" w:hAnsi="Calibri" w:cs="Calibri"/>
                <w:color w:val="0D0D0D" w:themeColor="text1" w:themeTint="F2"/>
                <w:sz w:val="22"/>
                <w:szCs w:val="22"/>
                <w:lang w:val="sr-Cyrl-RS"/>
              </w:rPr>
            </w:pPr>
          </w:p>
        </w:tc>
        <w:tc>
          <w:tcPr>
            <w:tcW w:w="2952" w:type="pct"/>
            <w:shd w:val="clear" w:color="auto" w:fill="auto"/>
            <w:noWrap/>
            <w:vAlign w:val="bottom"/>
          </w:tcPr>
          <w:p w14:paraId="1DD16BA0" w14:textId="77777777" w:rsidR="006A4080" w:rsidRPr="00C41E55" w:rsidRDefault="006A4080" w:rsidP="001472A4">
            <w:pPr>
              <w:jc w:val="right"/>
              <w:rPr>
                <w:rFonts w:ascii="Calibri" w:hAnsi="Calibri" w:cs="Calibri"/>
                <w:color w:val="0D0D0D" w:themeColor="text1" w:themeTint="F2"/>
                <w:sz w:val="22"/>
                <w:szCs w:val="22"/>
              </w:rPr>
            </w:pPr>
            <w:r>
              <w:rPr>
                <w:rFonts w:ascii="Calibri" w:hAnsi="Calibri"/>
                <w:color w:val="0D0D0D" w:themeColor="text1" w:themeTint="F2"/>
                <w:sz w:val="22"/>
                <w:szCs w:val="22"/>
              </w:rPr>
              <w:t>Total:</w:t>
            </w:r>
          </w:p>
        </w:tc>
        <w:tc>
          <w:tcPr>
            <w:tcW w:w="1386" w:type="pct"/>
            <w:shd w:val="clear" w:color="auto" w:fill="auto"/>
            <w:vAlign w:val="bottom"/>
          </w:tcPr>
          <w:p w14:paraId="061A97D8" w14:textId="1CB7E26D" w:rsidR="006A4080" w:rsidRPr="00C41E55" w:rsidRDefault="00C41E55" w:rsidP="001472A4">
            <w:pPr>
              <w:jc w:val="right"/>
              <w:rPr>
                <w:rFonts w:ascii="Calibri" w:hAnsi="Calibri" w:cs="Calibri"/>
                <w:color w:val="0D0D0D" w:themeColor="text1" w:themeTint="F2"/>
                <w:sz w:val="22"/>
                <w:szCs w:val="22"/>
              </w:rPr>
            </w:pPr>
            <w:r>
              <w:rPr>
                <w:rFonts w:ascii="Calibri" w:hAnsi="Calibri"/>
                <w:color w:val="0D0D0D" w:themeColor="text1" w:themeTint="F2"/>
                <w:sz w:val="22"/>
                <w:szCs w:val="22"/>
              </w:rPr>
              <w:t>470.000,00</w:t>
            </w:r>
          </w:p>
        </w:tc>
      </w:tr>
    </w:tbl>
    <w:p w14:paraId="44F3C43F" w14:textId="0BFAF676" w:rsidR="008F0F33" w:rsidRDefault="008F0F33" w:rsidP="008F0F33">
      <w:pPr>
        <w:pBdr>
          <w:top w:val="nil"/>
          <w:left w:val="nil"/>
          <w:bottom w:val="nil"/>
          <w:right w:val="nil"/>
          <w:between w:val="nil"/>
        </w:pBdr>
        <w:tabs>
          <w:tab w:val="left" w:pos="0"/>
          <w:tab w:val="left" w:pos="1440"/>
        </w:tabs>
        <w:spacing w:after="120"/>
        <w:ind w:right="-11"/>
        <w:rPr>
          <w:rFonts w:asciiTheme="majorHAnsi" w:eastAsia="Calibri" w:hAnsiTheme="majorHAnsi" w:cstheme="majorHAnsi"/>
          <w:color w:val="0D0D0D" w:themeColor="text1" w:themeTint="F2"/>
          <w:sz w:val="22"/>
          <w:szCs w:val="22"/>
          <w:lang w:val="ru-RU"/>
        </w:rPr>
      </w:pPr>
    </w:p>
    <w:p w14:paraId="2FFFDCAA" w14:textId="6DCA7057" w:rsidR="00C41E55" w:rsidRDefault="00C41E55" w:rsidP="00C41E55">
      <w:pPr>
        <w:jc w:val="both"/>
        <w:rPr>
          <w:rFonts w:asciiTheme="majorHAnsi" w:hAnsiTheme="majorHAnsi" w:cstheme="majorHAnsi"/>
          <w:color w:val="0D0D0D" w:themeColor="text1" w:themeTint="F2"/>
          <w:sz w:val="22"/>
          <w:szCs w:val="22"/>
        </w:rPr>
      </w:pPr>
      <w:r>
        <w:rPr>
          <w:rFonts w:asciiTheme="majorHAnsi" w:hAnsiTheme="majorHAnsi"/>
          <w:color w:val="0D0D0D" w:themeColor="text1" w:themeTint="F2"/>
          <w:sz w:val="22"/>
          <w:szCs w:val="22"/>
        </w:rPr>
        <w:t>Tabela numărul 2: Repartizarea conform Concursului pentru finanțarea și cofinanțarea activităților, programelor și proiectelor consiliilor naţionale ale minorităţilor naţionale în domeniul învăţământului elementar şi mediu  în Provincia Autonomă Voivodina pentru anul 2025 - dotarea pregătirii și redactării testelor și exercițiilor în limbile minoritare în domeniul învăţământului mediu</w:t>
      </w:r>
    </w:p>
    <w:p w14:paraId="0A44B05F" w14:textId="77777777" w:rsidR="00C41E55" w:rsidRPr="001851D0" w:rsidRDefault="00C41E55" w:rsidP="00C41E55">
      <w:pPr>
        <w:jc w:val="both"/>
        <w:rPr>
          <w:rFonts w:asciiTheme="majorHAnsi" w:hAnsiTheme="majorHAnsi" w:cstheme="majorHAnsi"/>
          <w:color w:val="0D0D0D" w:themeColor="text1" w:themeTint="F2"/>
          <w:sz w:val="22"/>
          <w:szCs w:val="22"/>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551"/>
        <w:gridCol w:w="3076"/>
      </w:tblGrid>
      <w:tr w:rsidR="00C41E55" w:rsidRPr="00C41E55" w14:paraId="1B2568F5" w14:textId="77777777" w:rsidTr="007642ED">
        <w:trPr>
          <w:trHeight w:val="315"/>
        </w:trPr>
        <w:tc>
          <w:tcPr>
            <w:tcW w:w="662" w:type="pct"/>
            <w:shd w:val="clear" w:color="auto" w:fill="auto"/>
          </w:tcPr>
          <w:p w14:paraId="58FE0C56" w14:textId="77777777" w:rsidR="00C41E55" w:rsidRPr="00C41E55" w:rsidRDefault="00C41E55" w:rsidP="007642ED">
            <w:pPr>
              <w:jc w:val="center"/>
              <w:rPr>
                <w:rFonts w:asciiTheme="majorHAnsi" w:hAnsiTheme="majorHAnsi" w:cstheme="majorHAnsi"/>
                <w:color w:val="0D0D0D" w:themeColor="text1" w:themeTint="F2"/>
                <w:sz w:val="22"/>
                <w:szCs w:val="22"/>
              </w:rPr>
            </w:pPr>
            <w:r>
              <w:rPr>
                <w:rFonts w:asciiTheme="majorHAnsi" w:hAnsiTheme="majorHAnsi"/>
                <w:color w:val="0D0D0D" w:themeColor="text1" w:themeTint="F2"/>
                <w:sz w:val="22"/>
                <w:szCs w:val="22"/>
              </w:rPr>
              <w:t>Numărul curent</w:t>
            </w:r>
          </w:p>
        </w:tc>
        <w:tc>
          <w:tcPr>
            <w:tcW w:w="2952" w:type="pct"/>
            <w:shd w:val="clear" w:color="auto" w:fill="auto"/>
            <w:noWrap/>
            <w:vAlign w:val="bottom"/>
          </w:tcPr>
          <w:p w14:paraId="252C2107" w14:textId="77777777" w:rsidR="00C41E55" w:rsidRPr="00C41E55" w:rsidRDefault="00C41E55" w:rsidP="007642ED">
            <w:pPr>
              <w:jc w:val="center"/>
              <w:rPr>
                <w:rFonts w:asciiTheme="majorHAnsi" w:hAnsiTheme="majorHAnsi" w:cstheme="majorHAnsi"/>
                <w:color w:val="0D0D0D" w:themeColor="text1" w:themeTint="F2"/>
                <w:sz w:val="22"/>
                <w:szCs w:val="22"/>
              </w:rPr>
            </w:pPr>
            <w:r>
              <w:rPr>
                <w:rFonts w:asciiTheme="majorHAnsi" w:hAnsiTheme="majorHAnsi"/>
                <w:color w:val="0D0D0D" w:themeColor="text1" w:themeTint="F2"/>
                <w:sz w:val="22"/>
                <w:szCs w:val="22"/>
              </w:rPr>
              <w:t>Consiliile naţionale</w:t>
            </w:r>
          </w:p>
          <w:p w14:paraId="28FBBE98" w14:textId="77777777" w:rsidR="00C41E55" w:rsidRPr="00C41E55" w:rsidRDefault="00C41E55" w:rsidP="007642ED">
            <w:pPr>
              <w:jc w:val="center"/>
              <w:rPr>
                <w:rFonts w:asciiTheme="majorHAnsi" w:hAnsiTheme="majorHAnsi" w:cstheme="majorHAnsi"/>
                <w:color w:val="0D0D0D" w:themeColor="text1" w:themeTint="F2"/>
                <w:sz w:val="22"/>
                <w:szCs w:val="22"/>
                <w:lang w:val="sr-Cyrl-RS"/>
              </w:rPr>
            </w:pPr>
          </w:p>
        </w:tc>
        <w:tc>
          <w:tcPr>
            <w:tcW w:w="1386" w:type="pct"/>
            <w:shd w:val="clear" w:color="auto" w:fill="auto"/>
            <w:vAlign w:val="bottom"/>
          </w:tcPr>
          <w:p w14:paraId="5CCB97C5" w14:textId="77777777" w:rsidR="00C41E55" w:rsidRPr="00C41E55" w:rsidRDefault="00C41E55" w:rsidP="007642ED">
            <w:pPr>
              <w:jc w:val="center"/>
              <w:rPr>
                <w:rFonts w:asciiTheme="majorHAnsi" w:hAnsiTheme="majorHAnsi" w:cstheme="majorHAnsi"/>
                <w:color w:val="0D0D0D" w:themeColor="text1" w:themeTint="F2"/>
                <w:sz w:val="22"/>
                <w:szCs w:val="22"/>
              </w:rPr>
            </w:pPr>
            <w:r>
              <w:rPr>
                <w:rFonts w:asciiTheme="majorHAnsi" w:hAnsiTheme="majorHAnsi"/>
                <w:color w:val="0D0D0D" w:themeColor="text1" w:themeTint="F2"/>
                <w:sz w:val="22"/>
                <w:szCs w:val="22"/>
              </w:rPr>
              <w:t>Suma</w:t>
            </w:r>
          </w:p>
          <w:p w14:paraId="098A5682" w14:textId="77777777" w:rsidR="00C41E55" w:rsidRPr="00C41E55" w:rsidRDefault="00C41E55" w:rsidP="007642ED">
            <w:pPr>
              <w:rPr>
                <w:rFonts w:asciiTheme="majorHAnsi" w:hAnsiTheme="majorHAnsi" w:cstheme="majorHAnsi"/>
                <w:color w:val="0D0D0D" w:themeColor="text1" w:themeTint="F2"/>
                <w:sz w:val="22"/>
                <w:szCs w:val="22"/>
                <w:lang w:val="sr-Cyrl-RS"/>
              </w:rPr>
            </w:pPr>
          </w:p>
        </w:tc>
      </w:tr>
      <w:tr w:rsidR="00C41E55" w:rsidRPr="00C41E55" w14:paraId="5DB46933" w14:textId="77777777" w:rsidTr="007642ED">
        <w:trPr>
          <w:trHeight w:val="315"/>
        </w:trPr>
        <w:tc>
          <w:tcPr>
            <w:tcW w:w="662" w:type="pct"/>
            <w:shd w:val="clear" w:color="auto" w:fill="auto"/>
          </w:tcPr>
          <w:p w14:paraId="05384D88" w14:textId="35D6B557" w:rsidR="00C41E55" w:rsidRPr="00C41E55" w:rsidRDefault="00C41E55" w:rsidP="00C41E55">
            <w:pPr>
              <w:jc w:val="center"/>
              <w:rPr>
                <w:rFonts w:asciiTheme="majorHAnsi" w:hAnsiTheme="majorHAnsi" w:cstheme="majorHAnsi"/>
                <w:color w:val="0D0D0D" w:themeColor="text1" w:themeTint="F2"/>
                <w:sz w:val="22"/>
                <w:szCs w:val="22"/>
              </w:rPr>
            </w:pPr>
            <w:r>
              <w:rPr>
                <w:rFonts w:asciiTheme="majorHAnsi" w:hAnsiTheme="majorHAnsi"/>
                <w:sz w:val="22"/>
                <w:szCs w:val="22"/>
              </w:rPr>
              <w:t>1.</w:t>
            </w:r>
          </w:p>
        </w:tc>
        <w:tc>
          <w:tcPr>
            <w:tcW w:w="2952" w:type="pct"/>
            <w:shd w:val="clear" w:color="auto" w:fill="auto"/>
            <w:noWrap/>
            <w:hideMark/>
          </w:tcPr>
          <w:p w14:paraId="5C031BAB" w14:textId="1DC8CDF8" w:rsidR="00C41E55" w:rsidRPr="00C41E55" w:rsidRDefault="00C41E55" w:rsidP="00C41E55">
            <w:pPr>
              <w:rPr>
                <w:rFonts w:asciiTheme="majorHAnsi" w:hAnsiTheme="majorHAnsi" w:cstheme="majorHAnsi"/>
                <w:color w:val="0D0D0D" w:themeColor="text1" w:themeTint="F2"/>
                <w:sz w:val="22"/>
                <w:szCs w:val="22"/>
              </w:rPr>
            </w:pPr>
            <w:r>
              <w:rPr>
                <w:rFonts w:asciiTheme="majorHAnsi" w:hAnsiTheme="majorHAnsi"/>
                <w:sz w:val="22"/>
                <w:szCs w:val="22"/>
              </w:rPr>
              <w:t>Consiliul Naţional al Minorităţii Naţionale Maghiare</w:t>
            </w:r>
          </w:p>
        </w:tc>
        <w:tc>
          <w:tcPr>
            <w:tcW w:w="1386" w:type="pct"/>
            <w:shd w:val="clear" w:color="auto" w:fill="auto"/>
          </w:tcPr>
          <w:p w14:paraId="7E4950F9" w14:textId="7BECC438" w:rsidR="00C41E55" w:rsidRPr="00C41E55" w:rsidRDefault="00C41E55" w:rsidP="00C41E55">
            <w:pPr>
              <w:jc w:val="right"/>
              <w:rPr>
                <w:rFonts w:asciiTheme="majorHAnsi" w:hAnsiTheme="majorHAnsi" w:cstheme="majorHAnsi"/>
                <w:color w:val="0D0D0D" w:themeColor="text1" w:themeTint="F2"/>
                <w:sz w:val="22"/>
                <w:szCs w:val="22"/>
              </w:rPr>
            </w:pPr>
            <w:r>
              <w:rPr>
                <w:rFonts w:asciiTheme="majorHAnsi" w:hAnsiTheme="majorHAnsi"/>
                <w:sz w:val="22"/>
                <w:szCs w:val="22"/>
              </w:rPr>
              <w:t>58.756,13</w:t>
            </w:r>
          </w:p>
        </w:tc>
      </w:tr>
      <w:tr w:rsidR="00C41E55" w:rsidRPr="00C41E55" w14:paraId="6C076FF0" w14:textId="77777777" w:rsidTr="007642ED">
        <w:trPr>
          <w:trHeight w:val="315"/>
        </w:trPr>
        <w:tc>
          <w:tcPr>
            <w:tcW w:w="662" w:type="pct"/>
            <w:shd w:val="clear" w:color="auto" w:fill="auto"/>
          </w:tcPr>
          <w:p w14:paraId="6D34B665" w14:textId="748CC247" w:rsidR="00C41E55" w:rsidRPr="00C41E55" w:rsidRDefault="00C41E55" w:rsidP="00C41E55">
            <w:pPr>
              <w:jc w:val="center"/>
              <w:rPr>
                <w:rFonts w:asciiTheme="majorHAnsi" w:hAnsiTheme="majorHAnsi" w:cstheme="majorHAnsi"/>
                <w:color w:val="0D0D0D" w:themeColor="text1" w:themeTint="F2"/>
                <w:sz w:val="22"/>
                <w:szCs w:val="22"/>
              </w:rPr>
            </w:pPr>
            <w:r>
              <w:rPr>
                <w:rFonts w:asciiTheme="majorHAnsi" w:hAnsiTheme="majorHAnsi"/>
                <w:sz w:val="22"/>
                <w:szCs w:val="22"/>
              </w:rPr>
              <w:t>2.</w:t>
            </w:r>
          </w:p>
        </w:tc>
        <w:tc>
          <w:tcPr>
            <w:tcW w:w="2952" w:type="pct"/>
            <w:shd w:val="clear" w:color="auto" w:fill="auto"/>
            <w:noWrap/>
            <w:hideMark/>
          </w:tcPr>
          <w:p w14:paraId="1A463DF9" w14:textId="1C55A3E1" w:rsidR="00C41E55" w:rsidRPr="00C41E55" w:rsidRDefault="00C41E55" w:rsidP="00C41E55">
            <w:pPr>
              <w:rPr>
                <w:rFonts w:asciiTheme="majorHAnsi" w:hAnsiTheme="majorHAnsi" w:cstheme="majorHAnsi"/>
                <w:color w:val="0D0D0D" w:themeColor="text1" w:themeTint="F2"/>
                <w:sz w:val="22"/>
                <w:szCs w:val="22"/>
              </w:rPr>
            </w:pPr>
            <w:r>
              <w:rPr>
                <w:rFonts w:asciiTheme="majorHAnsi" w:hAnsiTheme="majorHAnsi"/>
                <w:sz w:val="22"/>
                <w:szCs w:val="22"/>
              </w:rPr>
              <w:t>Consiliul Naţional al Minorităţii Naţionale Române</w:t>
            </w:r>
          </w:p>
        </w:tc>
        <w:tc>
          <w:tcPr>
            <w:tcW w:w="1386" w:type="pct"/>
            <w:shd w:val="clear" w:color="auto" w:fill="auto"/>
          </w:tcPr>
          <w:p w14:paraId="13C447E9" w14:textId="74598A4C" w:rsidR="00C41E55" w:rsidRPr="00C41E55" w:rsidRDefault="00C41E55" w:rsidP="00C41E55">
            <w:pPr>
              <w:jc w:val="right"/>
              <w:rPr>
                <w:rFonts w:asciiTheme="majorHAnsi" w:hAnsiTheme="majorHAnsi" w:cstheme="majorHAnsi"/>
                <w:color w:val="0D0D0D" w:themeColor="text1" w:themeTint="F2"/>
                <w:sz w:val="22"/>
                <w:szCs w:val="22"/>
              </w:rPr>
            </w:pPr>
            <w:r>
              <w:rPr>
                <w:rFonts w:asciiTheme="majorHAnsi" w:hAnsiTheme="majorHAnsi"/>
                <w:sz w:val="22"/>
                <w:szCs w:val="22"/>
              </w:rPr>
              <w:t>19.154,90</w:t>
            </w:r>
          </w:p>
        </w:tc>
      </w:tr>
      <w:tr w:rsidR="00C41E55" w:rsidRPr="00C41E55" w14:paraId="32827259" w14:textId="77777777" w:rsidTr="007642ED">
        <w:trPr>
          <w:trHeight w:val="315"/>
        </w:trPr>
        <w:tc>
          <w:tcPr>
            <w:tcW w:w="662" w:type="pct"/>
            <w:shd w:val="clear" w:color="auto" w:fill="auto"/>
          </w:tcPr>
          <w:p w14:paraId="745E3029" w14:textId="7A2ECDA8" w:rsidR="00C41E55" w:rsidRPr="00C41E55" w:rsidRDefault="00C41E55" w:rsidP="00C41E55">
            <w:pPr>
              <w:jc w:val="center"/>
              <w:rPr>
                <w:rFonts w:asciiTheme="majorHAnsi" w:hAnsiTheme="majorHAnsi" w:cstheme="majorHAnsi"/>
                <w:color w:val="0D0D0D" w:themeColor="text1" w:themeTint="F2"/>
                <w:sz w:val="22"/>
                <w:szCs w:val="22"/>
              </w:rPr>
            </w:pPr>
            <w:r>
              <w:rPr>
                <w:rFonts w:asciiTheme="majorHAnsi" w:hAnsiTheme="majorHAnsi"/>
                <w:sz w:val="22"/>
                <w:szCs w:val="22"/>
              </w:rPr>
              <w:t>3.</w:t>
            </w:r>
          </w:p>
        </w:tc>
        <w:tc>
          <w:tcPr>
            <w:tcW w:w="2952" w:type="pct"/>
            <w:shd w:val="clear" w:color="auto" w:fill="auto"/>
            <w:noWrap/>
            <w:hideMark/>
          </w:tcPr>
          <w:p w14:paraId="5C6A9D56" w14:textId="1241378B" w:rsidR="00C41E55" w:rsidRPr="00C41E55" w:rsidRDefault="00C41E55" w:rsidP="00C41E55">
            <w:pPr>
              <w:rPr>
                <w:rFonts w:asciiTheme="majorHAnsi" w:hAnsiTheme="majorHAnsi" w:cstheme="majorHAnsi"/>
                <w:color w:val="0D0D0D" w:themeColor="text1" w:themeTint="F2"/>
                <w:sz w:val="22"/>
                <w:szCs w:val="22"/>
              </w:rPr>
            </w:pPr>
            <w:r>
              <w:rPr>
                <w:rFonts w:asciiTheme="majorHAnsi" w:hAnsiTheme="majorHAnsi"/>
                <w:sz w:val="22"/>
                <w:szCs w:val="22"/>
              </w:rPr>
              <w:t>Consiliului Naţional al Minorităţii Naţionale Rutene</w:t>
            </w:r>
          </w:p>
        </w:tc>
        <w:tc>
          <w:tcPr>
            <w:tcW w:w="1386" w:type="pct"/>
            <w:shd w:val="clear" w:color="auto" w:fill="auto"/>
          </w:tcPr>
          <w:p w14:paraId="0122E39B" w14:textId="75F9C7F3" w:rsidR="00C41E55" w:rsidRPr="00C41E55" w:rsidRDefault="00C41E55" w:rsidP="00C41E55">
            <w:pPr>
              <w:jc w:val="right"/>
              <w:rPr>
                <w:rFonts w:asciiTheme="majorHAnsi" w:hAnsiTheme="majorHAnsi" w:cstheme="majorHAnsi"/>
                <w:color w:val="0D0D0D" w:themeColor="text1" w:themeTint="F2"/>
                <w:sz w:val="22"/>
                <w:szCs w:val="22"/>
              </w:rPr>
            </w:pPr>
            <w:r>
              <w:rPr>
                <w:rFonts w:asciiTheme="majorHAnsi" w:hAnsiTheme="majorHAnsi"/>
                <w:sz w:val="22"/>
                <w:szCs w:val="22"/>
              </w:rPr>
              <w:t>17.486,57</w:t>
            </w:r>
          </w:p>
        </w:tc>
      </w:tr>
      <w:tr w:rsidR="00C41E55" w:rsidRPr="00C41E55" w14:paraId="77E4C9DD" w14:textId="77777777" w:rsidTr="007642ED">
        <w:trPr>
          <w:trHeight w:val="315"/>
        </w:trPr>
        <w:tc>
          <w:tcPr>
            <w:tcW w:w="662" w:type="pct"/>
            <w:shd w:val="clear" w:color="auto" w:fill="auto"/>
          </w:tcPr>
          <w:p w14:paraId="51698D49" w14:textId="552FF1E9" w:rsidR="00C41E55" w:rsidRPr="00C41E55" w:rsidRDefault="00C41E55" w:rsidP="00C41E55">
            <w:pPr>
              <w:jc w:val="center"/>
              <w:rPr>
                <w:rFonts w:asciiTheme="majorHAnsi" w:hAnsiTheme="majorHAnsi" w:cstheme="majorHAnsi"/>
                <w:color w:val="0D0D0D" w:themeColor="text1" w:themeTint="F2"/>
                <w:sz w:val="22"/>
                <w:szCs w:val="22"/>
              </w:rPr>
            </w:pPr>
            <w:r>
              <w:rPr>
                <w:rFonts w:asciiTheme="majorHAnsi" w:hAnsiTheme="majorHAnsi"/>
                <w:sz w:val="22"/>
                <w:szCs w:val="22"/>
              </w:rPr>
              <w:t>4.</w:t>
            </w:r>
          </w:p>
        </w:tc>
        <w:tc>
          <w:tcPr>
            <w:tcW w:w="2952" w:type="pct"/>
            <w:shd w:val="clear" w:color="auto" w:fill="auto"/>
            <w:noWrap/>
            <w:hideMark/>
          </w:tcPr>
          <w:p w14:paraId="595DFD67" w14:textId="2ABDE13A" w:rsidR="00C41E55" w:rsidRPr="00C41E55" w:rsidRDefault="00C41E55" w:rsidP="00C41E55">
            <w:pPr>
              <w:rPr>
                <w:rFonts w:asciiTheme="majorHAnsi" w:hAnsiTheme="majorHAnsi" w:cstheme="majorHAnsi"/>
                <w:color w:val="0D0D0D" w:themeColor="text1" w:themeTint="F2"/>
                <w:sz w:val="22"/>
                <w:szCs w:val="22"/>
              </w:rPr>
            </w:pPr>
            <w:r>
              <w:rPr>
                <w:rFonts w:asciiTheme="majorHAnsi" w:hAnsiTheme="majorHAnsi"/>
                <w:sz w:val="22"/>
                <w:szCs w:val="22"/>
              </w:rPr>
              <w:t>Consiliului Naţional al Minorităţii Naţionale Slovace</w:t>
            </w:r>
          </w:p>
        </w:tc>
        <w:tc>
          <w:tcPr>
            <w:tcW w:w="1386" w:type="pct"/>
            <w:shd w:val="clear" w:color="auto" w:fill="auto"/>
          </w:tcPr>
          <w:p w14:paraId="05CF2C57" w14:textId="3F8C8005" w:rsidR="00C41E55" w:rsidRPr="00C41E55" w:rsidRDefault="00C41E55" w:rsidP="00C41E55">
            <w:pPr>
              <w:jc w:val="right"/>
              <w:rPr>
                <w:rFonts w:asciiTheme="majorHAnsi" w:hAnsiTheme="majorHAnsi" w:cstheme="majorHAnsi"/>
                <w:color w:val="0D0D0D" w:themeColor="text1" w:themeTint="F2"/>
                <w:sz w:val="22"/>
                <w:szCs w:val="22"/>
              </w:rPr>
            </w:pPr>
            <w:r>
              <w:rPr>
                <w:rFonts w:asciiTheme="majorHAnsi" w:hAnsiTheme="majorHAnsi"/>
                <w:sz w:val="22"/>
                <w:szCs w:val="22"/>
              </w:rPr>
              <w:t>13.408,43</w:t>
            </w:r>
          </w:p>
        </w:tc>
      </w:tr>
      <w:tr w:rsidR="00C41E55" w:rsidRPr="00C41E55" w14:paraId="56F02247" w14:textId="77777777" w:rsidTr="007642ED">
        <w:trPr>
          <w:trHeight w:val="315"/>
        </w:trPr>
        <w:tc>
          <w:tcPr>
            <w:tcW w:w="662" w:type="pct"/>
            <w:shd w:val="clear" w:color="auto" w:fill="auto"/>
          </w:tcPr>
          <w:p w14:paraId="1F210F56" w14:textId="10C5D46D" w:rsidR="00C41E55" w:rsidRPr="00C41E55" w:rsidRDefault="00C41E55" w:rsidP="00C41E55">
            <w:pPr>
              <w:jc w:val="center"/>
              <w:rPr>
                <w:rFonts w:asciiTheme="majorHAnsi" w:hAnsiTheme="majorHAnsi" w:cstheme="majorHAnsi"/>
                <w:color w:val="0D0D0D" w:themeColor="text1" w:themeTint="F2"/>
                <w:sz w:val="22"/>
                <w:szCs w:val="22"/>
              </w:rPr>
            </w:pPr>
            <w:r>
              <w:rPr>
                <w:rFonts w:asciiTheme="majorHAnsi" w:hAnsiTheme="majorHAnsi"/>
                <w:sz w:val="22"/>
                <w:szCs w:val="22"/>
              </w:rPr>
              <w:t>5.</w:t>
            </w:r>
          </w:p>
        </w:tc>
        <w:tc>
          <w:tcPr>
            <w:tcW w:w="2952" w:type="pct"/>
            <w:shd w:val="clear" w:color="auto" w:fill="auto"/>
            <w:noWrap/>
            <w:hideMark/>
          </w:tcPr>
          <w:p w14:paraId="52560705" w14:textId="29BDB895" w:rsidR="00C41E55" w:rsidRPr="00C41E55" w:rsidRDefault="00C41E55" w:rsidP="00C41E55">
            <w:pPr>
              <w:rPr>
                <w:rFonts w:asciiTheme="majorHAnsi" w:hAnsiTheme="majorHAnsi" w:cstheme="majorHAnsi"/>
                <w:color w:val="0D0D0D" w:themeColor="text1" w:themeTint="F2"/>
                <w:sz w:val="22"/>
                <w:szCs w:val="22"/>
              </w:rPr>
            </w:pPr>
            <w:r>
              <w:rPr>
                <w:rFonts w:asciiTheme="majorHAnsi" w:hAnsiTheme="majorHAnsi"/>
                <w:sz w:val="22"/>
                <w:szCs w:val="22"/>
              </w:rPr>
              <w:t>Consiliul Naţional al Minorităţii Naţionale Croate</w:t>
            </w:r>
          </w:p>
        </w:tc>
        <w:tc>
          <w:tcPr>
            <w:tcW w:w="1386" w:type="pct"/>
            <w:shd w:val="clear" w:color="auto" w:fill="auto"/>
          </w:tcPr>
          <w:p w14:paraId="49582E2C" w14:textId="4DA2F635" w:rsidR="00C41E55" w:rsidRPr="00C41E55" w:rsidRDefault="00C41E55" w:rsidP="00C41E55">
            <w:pPr>
              <w:jc w:val="right"/>
              <w:rPr>
                <w:rFonts w:asciiTheme="majorHAnsi" w:hAnsiTheme="majorHAnsi" w:cstheme="majorHAnsi"/>
                <w:color w:val="0D0D0D" w:themeColor="text1" w:themeTint="F2"/>
                <w:sz w:val="22"/>
                <w:szCs w:val="22"/>
              </w:rPr>
            </w:pPr>
            <w:r>
              <w:rPr>
                <w:rFonts w:asciiTheme="majorHAnsi" w:hAnsiTheme="majorHAnsi"/>
                <w:sz w:val="22"/>
                <w:szCs w:val="22"/>
              </w:rPr>
              <w:t>21.193,97</w:t>
            </w:r>
          </w:p>
        </w:tc>
      </w:tr>
      <w:tr w:rsidR="00C41E55" w:rsidRPr="00C41E55" w14:paraId="7BCC75A7" w14:textId="77777777" w:rsidTr="007642ED">
        <w:trPr>
          <w:trHeight w:val="315"/>
        </w:trPr>
        <w:tc>
          <w:tcPr>
            <w:tcW w:w="662" w:type="pct"/>
            <w:shd w:val="clear" w:color="auto" w:fill="auto"/>
          </w:tcPr>
          <w:p w14:paraId="555FE4E5" w14:textId="77777777" w:rsidR="00C41E55" w:rsidRPr="00C41E55" w:rsidRDefault="00C41E55" w:rsidP="007642ED">
            <w:pPr>
              <w:rPr>
                <w:rFonts w:asciiTheme="majorHAnsi" w:hAnsiTheme="majorHAnsi" w:cstheme="majorHAnsi"/>
                <w:color w:val="0D0D0D" w:themeColor="text1" w:themeTint="F2"/>
                <w:sz w:val="22"/>
                <w:szCs w:val="22"/>
                <w:lang w:val="sr-Cyrl-RS"/>
              </w:rPr>
            </w:pPr>
          </w:p>
        </w:tc>
        <w:tc>
          <w:tcPr>
            <w:tcW w:w="2952" w:type="pct"/>
            <w:shd w:val="clear" w:color="auto" w:fill="auto"/>
            <w:noWrap/>
            <w:vAlign w:val="bottom"/>
          </w:tcPr>
          <w:p w14:paraId="5ADCFCA2" w14:textId="77777777" w:rsidR="00C41E55" w:rsidRPr="00C41E55" w:rsidRDefault="00C41E55" w:rsidP="007642ED">
            <w:pPr>
              <w:jc w:val="right"/>
              <w:rPr>
                <w:rFonts w:asciiTheme="majorHAnsi" w:hAnsiTheme="majorHAnsi" w:cstheme="majorHAnsi"/>
                <w:color w:val="0D0D0D" w:themeColor="text1" w:themeTint="F2"/>
                <w:sz w:val="22"/>
                <w:szCs w:val="22"/>
              </w:rPr>
            </w:pPr>
            <w:r>
              <w:rPr>
                <w:rFonts w:asciiTheme="majorHAnsi" w:hAnsiTheme="majorHAnsi"/>
                <w:color w:val="0D0D0D" w:themeColor="text1" w:themeTint="F2"/>
                <w:sz w:val="22"/>
                <w:szCs w:val="22"/>
              </w:rPr>
              <w:t>Total:</w:t>
            </w:r>
          </w:p>
        </w:tc>
        <w:tc>
          <w:tcPr>
            <w:tcW w:w="1386" w:type="pct"/>
            <w:shd w:val="clear" w:color="auto" w:fill="auto"/>
            <w:vAlign w:val="bottom"/>
          </w:tcPr>
          <w:p w14:paraId="6AD4ABB7" w14:textId="4F8229B5" w:rsidR="00C41E55" w:rsidRPr="00C41E55" w:rsidRDefault="00C41E55" w:rsidP="007642ED">
            <w:pPr>
              <w:jc w:val="right"/>
              <w:rPr>
                <w:rFonts w:asciiTheme="majorHAnsi" w:hAnsiTheme="majorHAnsi" w:cstheme="majorHAnsi"/>
                <w:color w:val="0D0D0D" w:themeColor="text1" w:themeTint="F2"/>
                <w:sz w:val="22"/>
                <w:szCs w:val="22"/>
              </w:rPr>
            </w:pPr>
            <w:r>
              <w:rPr>
                <w:rFonts w:asciiTheme="majorHAnsi" w:hAnsiTheme="majorHAnsi"/>
                <w:color w:val="0D0D0D" w:themeColor="text1" w:themeTint="F2"/>
                <w:sz w:val="22"/>
                <w:szCs w:val="22"/>
              </w:rPr>
              <w:t>130.000,00</w:t>
            </w:r>
          </w:p>
        </w:tc>
      </w:tr>
    </w:tbl>
    <w:p w14:paraId="35CDB75B" w14:textId="77777777" w:rsidR="00C41E55" w:rsidRPr="001851D0" w:rsidRDefault="00C41E55" w:rsidP="008F0F33">
      <w:pPr>
        <w:pBdr>
          <w:top w:val="nil"/>
          <w:left w:val="nil"/>
          <w:bottom w:val="nil"/>
          <w:right w:val="nil"/>
          <w:between w:val="nil"/>
        </w:pBdr>
        <w:tabs>
          <w:tab w:val="left" w:pos="0"/>
          <w:tab w:val="left" w:pos="1440"/>
        </w:tabs>
        <w:spacing w:after="120"/>
        <w:ind w:right="-11"/>
        <w:rPr>
          <w:rFonts w:asciiTheme="majorHAnsi" w:eastAsia="Calibri" w:hAnsiTheme="majorHAnsi" w:cstheme="majorHAnsi"/>
          <w:color w:val="0D0D0D" w:themeColor="text1" w:themeTint="F2"/>
          <w:sz w:val="22"/>
          <w:szCs w:val="22"/>
          <w:lang w:val="ru-RU"/>
        </w:rPr>
      </w:pPr>
    </w:p>
    <w:p w14:paraId="35F28C40" w14:textId="17E4F0BA" w:rsidR="00A76DC6" w:rsidRPr="001851D0" w:rsidRDefault="008F0F33" w:rsidP="008F0F33">
      <w:pPr>
        <w:pBdr>
          <w:top w:val="nil"/>
          <w:left w:val="nil"/>
          <w:bottom w:val="nil"/>
          <w:right w:val="nil"/>
          <w:between w:val="nil"/>
        </w:pBdr>
        <w:tabs>
          <w:tab w:val="left" w:pos="0"/>
          <w:tab w:val="left" w:pos="1440"/>
        </w:tabs>
        <w:spacing w:after="120"/>
        <w:ind w:right="-11"/>
        <w:jc w:val="center"/>
        <w:rPr>
          <w:rFonts w:asciiTheme="majorHAnsi" w:eastAsia="Calibri" w:hAnsiTheme="majorHAnsi" w:cstheme="majorHAnsi"/>
          <w:color w:val="0D0D0D" w:themeColor="text1" w:themeTint="F2"/>
          <w:sz w:val="22"/>
          <w:szCs w:val="22"/>
        </w:rPr>
      </w:pPr>
      <w:r>
        <w:rPr>
          <w:rFonts w:asciiTheme="majorHAnsi" w:hAnsiTheme="majorHAnsi"/>
          <w:color w:val="0D0D0D" w:themeColor="text1" w:themeTint="F2"/>
          <w:sz w:val="22"/>
          <w:szCs w:val="22"/>
        </w:rPr>
        <w:t>III</w:t>
      </w:r>
    </w:p>
    <w:p w14:paraId="067F1CFC" w14:textId="3F2BBC4A" w:rsidR="00A76DC6" w:rsidRPr="006B136E" w:rsidRDefault="006A4080" w:rsidP="00C41E55">
      <w:pPr>
        <w:tabs>
          <w:tab w:val="left" w:pos="0"/>
          <w:tab w:val="left" w:pos="1080"/>
          <w:tab w:val="left" w:pos="1440"/>
          <w:tab w:val="left" w:pos="5040"/>
        </w:tabs>
        <w:spacing w:after="120"/>
        <w:ind w:right="102" w:firstLine="360"/>
        <w:jc w:val="both"/>
        <w:rPr>
          <w:rFonts w:asciiTheme="majorHAnsi" w:eastAsia="Calibri" w:hAnsiTheme="majorHAnsi" w:cstheme="majorHAnsi"/>
          <w:color w:val="0D0D0D" w:themeColor="text1" w:themeTint="F2"/>
          <w:sz w:val="22"/>
          <w:szCs w:val="22"/>
        </w:rPr>
      </w:pPr>
      <w:r w:rsidRPr="006B136E">
        <w:rPr>
          <w:rFonts w:asciiTheme="majorHAnsi" w:hAnsiTheme="majorHAnsi" w:cstheme="majorHAnsi"/>
          <w:color w:val="0D0D0D" w:themeColor="text1" w:themeTint="F2"/>
          <w:sz w:val="22"/>
          <w:szCs w:val="22"/>
        </w:rPr>
        <w:t xml:space="preserve"> </w:t>
      </w:r>
      <w:bookmarkStart w:id="0" w:name="_GoBack"/>
      <w:bookmarkEnd w:id="0"/>
      <w:r w:rsidRPr="006B136E">
        <w:rPr>
          <w:rFonts w:asciiTheme="majorHAnsi" w:hAnsiTheme="majorHAnsi" w:cstheme="majorHAnsi"/>
          <w:color w:val="0D0D0D" w:themeColor="text1" w:themeTint="F2"/>
          <w:sz w:val="22"/>
          <w:szCs w:val="22"/>
        </w:rPr>
        <w:t xml:space="preserve"> </w:t>
      </w:r>
      <w:r w:rsidRPr="006B136E">
        <w:rPr>
          <w:rFonts w:asciiTheme="majorHAnsi" w:hAnsiTheme="majorHAnsi" w:cstheme="majorHAnsi"/>
          <w:sz w:val="22"/>
        </w:rPr>
        <w:t>Mijloacele prevăzute la punctul II din prezenta decizie sunt prevăzute prin Hotărârea Adunării Provinciei privind bugetul Provinciei Autonome Voivodina pentru anul 2025 („Buletinul oficial al P.A.V.”, nr.</w:t>
      </w:r>
      <w:r w:rsidRPr="006B136E">
        <w:rPr>
          <w:rFonts w:asciiTheme="majorHAnsi" w:hAnsiTheme="majorHAnsi" w:cstheme="majorHAnsi"/>
          <w:sz w:val="22"/>
          <w:szCs w:val="20"/>
        </w:rPr>
        <w:t xml:space="preserve"> 57/24, 38/25-reechilibrare și 53/25-reechilibrare </w:t>
      </w:r>
      <w:r w:rsidRPr="006B136E">
        <w:rPr>
          <w:rFonts w:asciiTheme="majorHAnsi" w:hAnsiTheme="majorHAnsi" w:cstheme="majorHAnsi"/>
          <w:sz w:val="22"/>
        </w:rPr>
        <w:t xml:space="preserve">în Partea 06-Secretariatul Provincial pentru Educaţie, Reglementări, Administraţie şi Minorităţile Naţionale – Comunităţile Naţionale, Programul 2003 - Învăţământul elementar, Activitatea de program 1004 - Ridicarea calităţii învăţământului elementar, clasificarea funcţională 910, sursa de finanţare 01 00 - Venituri şi încasări generale ale bugetului, clasificarea economică 4819 - Dotații altor instituții nonprofit și în cadrul Părții 06-Secretariatul Provincial pentru Educaţie, Reglementări, Administraţie şi Minorităţile Naţionale – Comunităţile Naţionale, Programul 2004 - Învăţământul mediu, Activitatea de program 1002 - Ridicarea calităţii învăţământului mediu, clasificarea funcţională 920, sursa de finanţare 01 00 - Venituri şi încasări generale ale bugetului, clasificarea economică 4819 - Dotații altor instituții nonprofit şi se transferă beneficiarilor </w:t>
      </w:r>
      <w:r w:rsidRPr="006B136E">
        <w:rPr>
          <w:rFonts w:asciiTheme="majorHAnsi" w:hAnsiTheme="majorHAnsi" w:cstheme="majorHAnsi"/>
          <w:bCs/>
          <w:sz w:val="22"/>
        </w:rPr>
        <w:t>în conformitate cu afluenţa mijloacelor în bugetul P.A. Voivodina, respectiv cu posibilităţile de lichiditate ale bugetului.</w:t>
      </w:r>
    </w:p>
    <w:p w14:paraId="483E43DB" w14:textId="6A59ED98" w:rsidR="00A76DC6" w:rsidRPr="001851D0" w:rsidRDefault="008F0F33" w:rsidP="008F0F33">
      <w:pPr>
        <w:tabs>
          <w:tab w:val="left" w:pos="0"/>
          <w:tab w:val="left" w:pos="1080"/>
          <w:tab w:val="left" w:pos="1440"/>
          <w:tab w:val="left" w:pos="5040"/>
        </w:tabs>
        <w:spacing w:after="120"/>
        <w:ind w:right="102"/>
        <w:jc w:val="center"/>
        <w:rPr>
          <w:rFonts w:asciiTheme="majorHAnsi" w:eastAsia="Calibri" w:hAnsiTheme="majorHAnsi" w:cstheme="majorHAnsi"/>
          <w:color w:val="0D0D0D" w:themeColor="text1" w:themeTint="F2"/>
          <w:sz w:val="22"/>
          <w:szCs w:val="22"/>
        </w:rPr>
      </w:pPr>
      <w:r>
        <w:rPr>
          <w:rFonts w:asciiTheme="majorHAnsi" w:hAnsiTheme="majorHAnsi"/>
          <w:color w:val="0D0D0D" w:themeColor="text1" w:themeTint="F2"/>
          <w:sz w:val="22"/>
          <w:szCs w:val="22"/>
        </w:rPr>
        <w:t>IV</w:t>
      </w:r>
    </w:p>
    <w:p w14:paraId="17BE09BE" w14:textId="2C439242" w:rsidR="00A76DC6" w:rsidRPr="001851D0" w:rsidRDefault="006E7D3B" w:rsidP="008F0F33">
      <w:pPr>
        <w:tabs>
          <w:tab w:val="left" w:pos="0"/>
          <w:tab w:val="left" w:pos="567"/>
          <w:tab w:val="left" w:pos="1440"/>
          <w:tab w:val="left" w:pos="5040"/>
        </w:tabs>
        <w:spacing w:after="120"/>
        <w:ind w:right="102"/>
        <w:jc w:val="both"/>
        <w:rPr>
          <w:rFonts w:asciiTheme="majorHAnsi" w:eastAsia="Calibri" w:hAnsiTheme="majorHAnsi" w:cstheme="majorHAnsi"/>
          <w:color w:val="0D0D0D" w:themeColor="text1" w:themeTint="F2"/>
          <w:sz w:val="22"/>
          <w:szCs w:val="22"/>
        </w:rPr>
      </w:pPr>
      <w:r>
        <w:rPr>
          <w:rFonts w:asciiTheme="majorHAnsi" w:hAnsiTheme="majorHAnsi"/>
          <w:color w:val="0D0D0D" w:themeColor="text1" w:themeTint="F2"/>
          <w:sz w:val="22"/>
          <w:szCs w:val="22"/>
        </w:rPr>
        <w:tab/>
        <w:t>Beneficiarii au obligaţia ca la realizarea destinaţiei pentru care au fost alocate mijloacele, să procedeze în conformitate cu Legea privind achiziţiile publice.</w:t>
      </w:r>
    </w:p>
    <w:p w14:paraId="0CBE5E8E" w14:textId="2AB252C2" w:rsidR="006E7D3B" w:rsidRPr="001851D0" w:rsidRDefault="008F0F33" w:rsidP="008F0F33">
      <w:pPr>
        <w:tabs>
          <w:tab w:val="left" w:pos="0"/>
          <w:tab w:val="left" w:pos="1080"/>
          <w:tab w:val="left" w:pos="1440"/>
          <w:tab w:val="left" w:pos="5040"/>
        </w:tabs>
        <w:spacing w:after="120"/>
        <w:ind w:right="102"/>
        <w:jc w:val="center"/>
        <w:rPr>
          <w:rFonts w:asciiTheme="majorHAnsi" w:eastAsia="Calibri" w:hAnsiTheme="majorHAnsi" w:cstheme="majorHAnsi"/>
          <w:color w:val="0D0D0D" w:themeColor="text1" w:themeTint="F2"/>
          <w:sz w:val="22"/>
          <w:szCs w:val="22"/>
        </w:rPr>
      </w:pPr>
      <w:r>
        <w:rPr>
          <w:rFonts w:asciiTheme="majorHAnsi" w:hAnsiTheme="majorHAnsi"/>
          <w:color w:val="0D0D0D" w:themeColor="text1" w:themeTint="F2"/>
          <w:sz w:val="22"/>
          <w:szCs w:val="22"/>
        </w:rPr>
        <w:t>V</w:t>
      </w:r>
    </w:p>
    <w:p w14:paraId="440BAB8A" w14:textId="3ABBCDC6" w:rsidR="00A76DC6" w:rsidRPr="001851D0" w:rsidRDefault="006E7D3B" w:rsidP="008F0F33">
      <w:pPr>
        <w:tabs>
          <w:tab w:val="left" w:pos="0"/>
          <w:tab w:val="left" w:pos="567"/>
          <w:tab w:val="left" w:pos="1440"/>
          <w:tab w:val="left" w:pos="5040"/>
        </w:tabs>
        <w:spacing w:after="120"/>
        <w:ind w:right="102"/>
        <w:rPr>
          <w:rFonts w:asciiTheme="majorHAnsi" w:eastAsia="Calibri" w:hAnsiTheme="majorHAnsi" w:cstheme="majorHAnsi"/>
          <w:color w:val="0D0D0D" w:themeColor="text1" w:themeTint="F2"/>
          <w:sz w:val="22"/>
          <w:szCs w:val="22"/>
        </w:rPr>
      </w:pPr>
      <w:r>
        <w:rPr>
          <w:rFonts w:asciiTheme="majorHAnsi" w:hAnsiTheme="majorHAnsi"/>
          <w:color w:val="0D0D0D" w:themeColor="text1" w:themeTint="F2"/>
          <w:sz w:val="22"/>
          <w:szCs w:val="22"/>
        </w:rPr>
        <w:tab/>
        <w:t>Rezultatele privind repartizarea mijloacelor vor fi publicate pe pagina de internet a Secretariatului.</w:t>
      </w:r>
    </w:p>
    <w:p w14:paraId="7D6E6C59" w14:textId="39F8E696" w:rsidR="006E7D3B" w:rsidRPr="001851D0" w:rsidRDefault="008F0F33" w:rsidP="008F0F33">
      <w:pPr>
        <w:tabs>
          <w:tab w:val="left" w:pos="1080"/>
          <w:tab w:val="left" w:pos="5040"/>
        </w:tabs>
        <w:spacing w:after="120"/>
        <w:ind w:right="102"/>
        <w:jc w:val="center"/>
        <w:rPr>
          <w:rFonts w:asciiTheme="majorHAnsi" w:eastAsia="Calibri" w:hAnsiTheme="majorHAnsi" w:cstheme="majorHAnsi"/>
          <w:color w:val="0D0D0D" w:themeColor="text1" w:themeTint="F2"/>
          <w:sz w:val="22"/>
          <w:szCs w:val="22"/>
        </w:rPr>
      </w:pPr>
      <w:r>
        <w:rPr>
          <w:rFonts w:asciiTheme="majorHAnsi" w:hAnsiTheme="majorHAnsi"/>
          <w:color w:val="0D0D0D" w:themeColor="text1" w:themeTint="F2"/>
          <w:sz w:val="22"/>
          <w:szCs w:val="22"/>
        </w:rPr>
        <w:lastRenderedPageBreak/>
        <w:t>VI</w:t>
      </w:r>
    </w:p>
    <w:p w14:paraId="0790038D" w14:textId="13E728CA" w:rsidR="00A76DC6" w:rsidRPr="001851D0" w:rsidRDefault="006E7D3B" w:rsidP="008F0F33">
      <w:pPr>
        <w:tabs>
          <w:tab w:val="left" w:pos="567"/>
          <w:tab w:val="left" w:pos="5040"/>
        </w:tabs>
        <w:spacing w:after="120"/>
        <w:ind w:right="102"/>
        <w:rPr>
          <w:rFonts w:asciiTheme="majorHAnsi" w:eastAsia="Calibri" w:hAnsiTheme="majorHAnsi" w:cstheme="majorHAnsi"/>
          <w:color w:val="0D0D0D" w:themeColor="text1" w:themeTint="F2"/>
          <w:sz w:val="22"/>
          <w:szCs w:val="22"/>
        </w:rPr>
      </w:pPr>
      <w:r>
        <w:rPr>
          <w:rFonts w:asciiTheme="majorHAnsi" w:hAnsiTheme="majorHAnsi"/>
          <w:color w:val="0D0D0D" w:themeColor="text1" w:themeTint="F2"/>
          <w:sz w:val="22"/>
          <w:szCs w:val="22"/>
        </w:rPr>
        <w:tab/>
        <w:t xml:space="preserve">Secretariatul va prelua obligaţia faţă de beneficiari </w:t>
      </w:r>
      <w:r>
        <w:rPr>
          <w:rFonts w:asciiTheme="majorHAnsi" w:hAnsiTheme="majorHAnsi"/>
          <w:b/>
          <w:bCs/>
          <w:color w:val="0D0D0D" w:themeColor="text1" w:themeTint="F2"/>
          <w:sz w:val="22"/>
          <w:szCs w:val="22"/>
        </w:rPr>
        <w:t>în baza contractului în scris.</w:t>
      </w:r>
      <w:r>
        <w:rPr>
          <w:rFonts w:asciiTheme="majorHAnsi" w:hAnsiTheme="majorHAnsi"/>
          <w:b/>
          <w:color w:val="0D0D0D" w:themeColor="text1" w:themeTint="F2"/>
          <w:sz w:val="22"/>
          <w:szCs w:val="22"/>
        </w:rPr>
        <w:t xml:space="preserve"> </w:t>
      </w:r>
    </w:p>
    <w:p w14:paraId="303B6C90" w14:textId="725306EA" w:rsidR="006E7D3B" w:rsidRPr="001851D0" w:rsidRDefault="008F0F33" w:rsidP="008F0F33">
      <w:pPr>
        <w:pBdr>
          <w:top w:val="nil"/>
          <w:left w:val="nil"/>
          <w:bottom w:val="nil"/>
          <w:right w:val="nil"/>
          <w:between w:val="nil"/>
        </w:pBdr>
        <w:tabs>
          <w:tab w:val="left" w:pos="5040"/>
        </w:tabs>
        <w:spacing w:after="120"/>
        <w:ind w:right="102"/>
        <w:jc w:val="center"/>
        <w:rPr>
          <w:rFonts w:asciiTheme="majorHAnsi" w:eastAsia="Calibri" w:hAnsiTheme="majorHAnsi" w:cstheme="majorHAnsi"/>
          <w:color w:val="0D0D0D" w:themeColor="text1" w:themeTint="F2"/>
          <w:sz w:val="22"/>
          <w:szCs w:val="22"/>
        </w:rPr>
      </w:pPr>
      <w:r>
        <w:rPr>
          <w:rFonts w:asciiTheme="majorHAnsi" w:hAnsiTheme="majorHAnsi"/>
          <w:color w:val="0D0D0D" w:themeColor="text1" w:themeTint="F2"/>
          <w:sz w:val="22"/>
          <w:szCs w:val="22"/>
        </w:rPr>
        <w:t>VII</w:t>
      </w:r>
    </w:p>
    <w:p w14:paraId="79FC91AA" w14:textId="707F6E25" w:rsidR="00A76DC6" w:rsidRPr="001851D0" w:rsidRDefault="003815E3" w:rsidP="008F0F33">
      <w:pPr>
        <w:pBdr>
          <w:top w:val="nil"/>
          <w:left w:val="nil"/>
          <w:bottom w:val="nil"/>
          <w:right w:val="nil"/>
          <w:between w:val="nil"/>
        </w:pBdr>
        <w:spacing w:after="120"/>
        <w:ind w:right="102" w:firstLine="567"/>
        <w:rPr>
          <w:rFonts w:asciiTheme="majorHAnsi" w:eastAsia="Calibri" w:hAnsiTheme="majorHAnsi" w:cstheme="majorHAnsi"/>
          <w:color w:val="0D0D0D" w:themeColor="text1" w:themeTint="F2"/>
          <w:sz w:val="22"/>
          <w:szCs w:val="22"/>
        </w:rPr>
      </w:pPr>
      <w:r>
        <w:rPr>
          <w:rFonts w:asciiTheme="majorHAnsi" w:hAnsiTheme="majorHAnsi"/>
          <w:color w:val="0D0D0D" w:themeColor="text1" w:themeTint="F2"/>
          <w:sz w:val="22"/>
          <w:szCs w:val="22"/>
        </w:rPr>
        <w:t>Prezenta decizie este definitivă şi împotriva ei nu se poate depune cale de atac.</w:t>
      </w:r>
    </w:p>
    <w:p w14:paraId="774DD564" w14:textId="68712D82" w:rsidR="006E7D3B" w:rsidRPr="001851D0" w:rsidRDefault="008F0F33" w:rsidP="008F0F33">
      <w:pPr>
        <w:tabs>
          <w:tab w:val="left" w:pos="0"/>
          <w:tab w:val="left" w:pos="1080"/>
          <w:tab w:val="left" w:pos="1440"/>
          <w:tab w:val="left" w:pos="5040"/>
        </w:tabs>
        <w:spacing w:after="120"/>
        <w:ind w:right="102"/>
        <w:jc w:val="center"/>
        <w:rPr>
          <w:rFonts w:asciiTheme="majorHAnsi" w:eastAsia="Calibri" w:hAnsiTheme="majorHAnsi" w:cstheme="majorHAnsi"/>
          <w:color w:val="0D0D0D" w:themeColor="text1" w:themeTint="F2"/>
          <w:sz w:val="22"/>
          <w:szCs w:val="22"/>
        </w:rPr>
      </w:pPr>
      <w:r>
        <w:rPr>
          <w:rFonts w:asciiTheme="majorHAnsi" w:hAnsiTheme="majorHAnsi"/>
          <w:color w:val="0D0D0D" w:themeColor="text1" w:themeTint="F2"/>
          <w:sz w:val="22"/>
          <w:szCs w:val="22"/>
        </w:rPr>
        <w:t>VIII</w:t>
      </w:r>
    </w:p>
    <w:p w14:paraId="1C15C4DB" w14:textId="144EEB5A" w:rsidR="00A76DC6" w:rsidRPr="001851D0" w:rsidRDefault="006E7D3B" w:rsidP="008F0F33">
      <w:pPr>
        <w:tabs>
          <w:tab w:val="left" w:pos="0"/>
          <w:tab w:val="left" w:pos="567"/>
          <w:tab w:val="left" w:pos="1440"/>
          <w:tab w:val="left" w:pos="5040"/>
        </w:tabs>
        <w:spacing w:after="120"/>
        <w:ind w:right="102"/>
        <w:rPr>
          <w:rFonts w:asciiTheme="majorHAnsi" w:eastAsia="Calibri" w:hAnsiTheme="majorHAnsi" w:cstheme="majorHAnsi"/>
          <w:color w:val="0D0D0D" w:themeColor="text1" w:themeTint="F2"/>
          <w:sz w:val="22"/>
          <w:szCs w:val="22"/>
        </w:rPr>
      </w:pPr>
      <w:r>
        <w:rPr>
          <w:rFonts w:asciiTheme="majorHAnsi" w:hAnsiTheme="majorHAnsi"/>
          <w:color w:val="0D0D0D" w:themeColor="text1" w:themeTint="F2"/>
          <w:sz w:val="22"/>
          <w:szCs w:val="22"/>
        </w:rPr>
        <w:tab/>
        <w:t>Pentru executarea prezentei decizii este responsabil Sectorul pentru activităţi material-financiare al Secretariatului.</w:t>
      </w:r>
    </w:p>
    <w:p w14:paraId="3E5258BD" w14:textId="6F05CC79" w:rsidR="00A76DC6" w:rsidRPr="001851D0" w:rsidRDefault="00A76DC6" w:rsidP="006E7D3B">
      <w:pPr>
        <w:pBdr>
          <w:top w:val="nil"/>
          <w:left w:val="nil"/>
          <w:bottom w:val="nil"/>
          <w:right w:val="nil"/>
          <w:between w:val="nil"/>
        </w:pBdr>
        <w:tabs>
          <w:tab w:val="left" w:pos="5040"/>
        </w:tabs>
        <w:ind w:right="102"/>
        <w:jc w:val="both"/>
        <w:rPr>
          <w:rFonts w:asciiTheme="majorHAnsi" w:eastAsia="Calibri" w:hAnsiTheme="majorHAnsi" w:cstheme="majorHAnsi"/>
          <w:color w:val="0D0D0D" w:themeColor="text1" w:themeTint="F2"/>
          <w:sz w:val="22"/>
          <w:szCs w:val="22"/>
          <w:lang w:val="ru-RU"/>
        </w:rPr>
      </w:pPr>
    </w:p>
    <w:p w14:paraId="78F10083" w14:textId="73BF3488" w:rsidR="009311D2" w:rsidRPr="001851D0" w:rsidRDefault="003815E3">
      <w:pPr>
        <w:jc w:val="both"/>
        <w:rPr>
          <w:rFonts w:asciiTheme="majorHAnsi" w:eastAsia="Calibri" w:hAnsiTheme="majorHAnsi" w:cstheme="majorHAnsi"/>
          <w:bCs/>
          <w:color w:val="0D0D0D" w:themeColor="text1" w:themeTint="F2"/>
          <w:sz w:val="22"/>
          <w:szCs w:val="22"/>
        </w:rPr>
      </w:pPr>
      <w:r>
        <w:rPr>
          <w:rFonts w:asciiTheme="majorHAnsi" w:hAnsiTheme="majorHAnsi"/>
          <w:bCs/>
          <w:color w:val="0D0D0D" w:themeColor="text1" w:themeTint="F2"/>
          <w:sz w:val="22"/>
          <w:szCs w:val="22"/>
        </w:rPr>
        <w:t>Decizia se trimite:</w:t>
      </w:r>
    </w:p>
    <w:p w14:paraId="50AD94E7" w14:textId="5AADCD94" w:rsidR="00A76DC6" w:rsidRPr="001851D0" w:rsidRDefault="003815E3">
      <w:pPr>
        <w:numPr>
          <w:ilvl w:val="0"/>
          <w:numId w:val="1"/>
        </w:numPr>
        <w:jc w:val="both"/>
        <w:rPr>
          <w:rFonts w:asciiTheme="majorHAnsi" w:eastAsia="Calibri" w:hAnsiTheme="majorHAnsi" w:cstheme="majorHAnsi"/>
          <w:color w:val="0D0D0D" w:themeColor="text1" w:themeTint="F2"/>
          <w:sz w:val="22"/>
          <w:szCs w:val="22"/>
        </w:rPr>
      </w:pPr>
      <w:r>
        <w:rPr>
          <w:rFonts w:asciiTheme="majorHAnsi" w:hAnsiTheme="majorHAnsi"/>
          <w:color w:val="0D0D0D" w:themeColor="text1" w:themeTint="F2"/>
          <w:sz w:val="22"/>
          <w:szCs w:val="22"/>
        </w:rPr>
        <w:t>Sectorului pentru activităţi material-financiare al Secretariatului</w:t>
      </w:r>
    </w:p>
    <w:p w14:paraId="2E3650BD" w14:textId="7FEBD68A" w:rsidR="00A76DC6" w:rsidRPr="001851D0" w:rsidRDefault="003815E3">
      <w:pPr>
        <w:numPr>
          <w:ilvl w:val="0"/>
          <w:numId w:val="1"/>
        </w:numPr>
        <w:jc w:val="both"/>
        <w:rPr>
          <w:rFonts w:asciiTheme="majorHAnsi" w:eastAsia="Calibri" w:hAnsiTheme="majorHAnsi" w:cstheme="majorHAnsi"/>
          <w:color w:val="0D0D0D" w:themeColor="text1" w:themeTint="F2"/>
          <w:sz w:val="22"/>
          <w:szCs w:val="22"/>
        </w:rPr>
      </w:pPr>
      <w:r>
        <w:rPr>
          <w:rFonts w:asciiTheme="majorHAnsi" w:hAnsiTheme="majorHAnsi"/>
          <w:color w:val="0D0D0D" w:themeColor="text1" w:themeTint="F2"/>
          <w:sz w:val="22"/>
          <w:szCs w:val="22"/>
        </w:rPr>
        <w:t xml:space="preserve">Arhivei  </w:t>
      </w:r>
    </w:p>
    <w:p w14:paraId="74C42EEF" w14:textId="7258CFD4" w:rsidR="00A76DC6" w:rsidRPr="001851D0" w:rsidRDefault="00A76DC6">
      <w:pPr>
        <w:jc w:val="both"/>
        <w:rPr>
          <w:rFonts w:asciiTheme="majorHAnsi" w:eastAsia="Calibri" w:hAnsiTheme="majorHAnsi" w:cstheme="majorHAnsi"/>
          <w:color w:val="0D0D0D" w:themeColor="text1" w:themeTint="F2"/>
          <w:sz w:val="22"/>
          <w:szCs w:val="22"/>
        </w:rPr>
      </w:pPr>
    </w:p>
    <w:p w14:paraId="25498395" w14:textId="58B4810E" w:rsidR="00A76DC6" w:rsidRPr="001851D0" w:rsidRDefault="008F0F33">
      <w:pPr>
        <w:jc w:val="both"/>
        <w:rPr>
          <w:rFonts w:asciiTheme="majorHAnsi" w:eastAsia="Calibri" w:hAnsiTheme="majorHAnsi" w:cstheme="majorHAnsi"/>
          <w:color w:val="0D0D0D" w:themeColor="text1" w:themeTint="F2"/>
          <w:sz w:val="22"/>
          <w:szCs w:val="22"/>
        </w:rPr>
      </w:pPr>
      <w:r>
        <w:rPr>
          <w:noProof/>
          <w:color w:val="0D0D0D" w:themeColor="text1" w:themeTint="F2"/>
          <w:lang w:val="en-US"/>
        </w:rPr>
        <mc:AlternateContent>
          <mc:Choice Requires="wps">
            <w:drawing>
              <wp:anchor distT="45720" distB="45720" distL="114300" distR="114300" simplePos="0" relativeHeight="251659776" behindDoc="0" locked="0" layoutInCell="1" allowOverlap="1" wp14:anchorId="5EE2A776" wp14:editId="3443671A">
                <wp:simplePos x="0" y="0"/>
                <wp:positionH relativeFrom="column">
                  <wp:posOffset>4224655</wp:posOffset>
                </wp:positionH>
                <wp:positionV relativeFrom="paragraph">
                  <wp:posOffset>147955</wp:posOffset>
                </wp:positionV>
                <wp:extent cx="2360930" cy="1404620"/>
                <wp:effectExtent l="0" t="0" r="1968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630CC30F" w14:textId="77777777" w:rsidR="006E7D3B" w:rsidRPr="006E7D3B" w:rsidRDefault="006E7D3B" w:rsidP="006E7D3B">
                            <w:pPr>
                              <w:jc w:val="center"/>
                              <w:rPr>
                                <w:rFonts w:asciiTheme="majorHAnsi" w:hAnsiTheme="majorHAnsi" w:cstheme="majorHAnsi"/>
                                <w:sz w:val="22"/>
                              </w:rPr>
                            </w:pPr>
                            <w:r>
                              <w:rPr>
                                <w:rFonts w:asciiTheme="majorHAnsi" w:hAnsiTheme="majorHAnsi"/>
                                <w:sz w:val="22"/>
                              </w:rPr>
                              <w:t>SECRETAR PROVINCIAL</w:t>
                            </w:r>
                          </w:p>
                          <w:p w14:paraId="7BA3F5AE" w14:textId="77777777" w:rsidR="006E7D3B" w:rsidRPr="006E7D3B" w:rsidRDefault="006E7D3B" w:rsidP="008F0F33">
                            <w:pPr>
                              <w:tabs>
                                <w:tab w:val="left" w:pos="0"/>
                                <w:tab w:val="left" w:pos="1080"/>
                              </w:tabs>
                              <w:ind w:right="-12"/>
                              <w:jc w:val="center"/>
                              <w:rPr>
                                <w:rFonts w:asciiTheme="majorHAnsi" w:hAnsiTheme="majorHAnsi" w:cstheme="majorHAnsi"/>
                                <w:sz w:val="22"/>
                              </w:rPr>
                            </w:pPr>
                            <w:r>
                              <w:rPr>
                                <w:rFonts w:asciiTheme="majorHAnsi" w:hAnsiTheme="majorHAnsi"/>
                                <w:sz w:val="22"/>
                              </w:rPr>
                              <w:t>Róbert Ótott</w:t>
                            </w:r>
                          </w:p>
                          <w:p w14:paraId="5C150F3E" w14:textId="3ABAAE53" w:rsidR="006E7D3B" w:rsidRPr="006E7D3B" w:rsidRDefault="006E7D3B" w:rsidP="006E7D3B">
                            <w:pPr>
                              <w:tabs>
                                <w:tab w:val="left" w:pos="0"/>
                                <w:tab w:val="left" w:pos="1080"/>
                              </w:tabs>
                              <w:spacing w:after="280"/>
                              <w:ind w:right="-12"/>
                              <w:jc w:val="center"/>
                              <w:rPr>
                                <w:rFonts w:asciiTheme="majorHAnsi" w:hAnsiTheme="majorHAnsi" w:cstheme="majorHAnsi"/>
                                <w:sz w:val="2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EE2A776" id="_x0000_t202" coordsize="21600,21600" o:spt="202" path="m,l,21600r21600,l21600,xe">
                <v:stroke joinstyle="miter"/>
                <v:path gradientshapeok="t" o:connecttype="rect"/>
              </v:shapetype>
              <v:shape id="Text Box 2" o:spid="_x0000_s1026" type="#_x0000_t202" style="position:absolute;left:0;text-align:left;margin-left:332.65pt;margin-top:11.65pt;width:185.9pt;height:110.6pt;z-index:2516597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T9KwIAAEYEAAAOAAAAZHJzL2Uyb0RvYy54bWysU9tu2zAMfR+wfxD0vvjSJG2MOEWXLsOA&#10;7gK0+wBZlm1hsqhJSuzs60vJaZZ1b8P0IIgidUSeQ65vx16Rg7BOgi5pNkspEZpDLXVb0u9Pu3c3&#10;lDjPdM0UaFHSo3D0dvP2zXowhcihA1ULSxBEu2IwJe28N0WSON6JnrkZGKHR2YDtmUfTtklt2YDo&#10;vUryNF0mA9jaWODCOby9n5x0E/GbRnD/tWmc8ESVFHPzcbdxr8KebNasaC0zneSnNNg/ZNEzqfHT&#10;M9Q984zsrfwLqpfcgoPGzzj0CTSN5CLWgNVk6atqHjtmRKwFyXHmTJP7f7D8y+GbJbIuaZ5dU6JZ&#10;jyI9idGT9zCSPPAzGFdg2KPBQD/iNeoca3XmAfgPRzRsO6ZbcWctDJ1gNeaXhZfJxdMJxwWQavgM&#10;NX7D9h4i0NjYPpCHdBBER52OZ21CKhwv86tlurpCF0dfNk/nyzyql7Di5bmxzn8U0JNwKKlF8SM8&#10;Ozw4H9JhxUtI+M2BkvVOKhUN21ZbZcmBYaPs4ooVvApTmgwlXS3yxcTAHxChZ8UZpGonDl4h9NJj&#10;wyvZl/QmDWtqwUDbB13HdvRMqumMGSt94jFQN5Hox2o86VJBfURGLUyNjYOIhw7sL0oGbOqSup97&#10;ZgUl6pNGVVbZfB6mIBrzxTVSSOylp7r0MM0RqqSekum49XFyIl/mDtXbychrkHnK5JQrNmuk+zRY&#10;YRou7Rj1e/w3zwAAAP//AwBQSwMEFAAGAAgAAAAhACLmp5jfAAAACwEAAA8AAABkcnMvZG93bnJl&#10;di54bWxMj01PwzAMhu9I/IfISFzQlnbdWlSaTghp3BBioJ2zxjTV8lElWVf+Pd4JTpbtR68fN9vZ&#10;GjZhiIN3AvJlBgxd59XgegFfn7vFI7CYpFPSeIcCfjDCtr29aWSt/MV94LRPPaMQF2spQKc01pzH&#10;TqOVcelHdLT79sHKRG3ouQryQuHW8FWWldzKwdEFLUd80did9mcrAE9TLv3u9U0/vA9BGV3Z/lAJ&#10;cX83Pz8BSzinPxiu+qQOLTkd/dmpyIyAstwUhApYFVSvQFZUObAjTdbrDfC24f9/aH8BAAD//wMA&#10;UEsBAi0AFAAGAAgAAAAhALaDOJL+AAAA4QEAABMAAAAAAAAAAAAAAAAAAAAAAFtDb250ZW50X1R5&#10;cGVzXS54bWxQSwECLQAUAAYACAAAACEAOP0h/9YAAACUAQAACwAAAAAAAAAAAAAAAAAvAQAAX3Jl&#10;bHMvLnJlbHNQSwECLQAUAAYACAAAACEAkgM0/SsCAABGBAAADgAAAAAAAAAAAAAAAAAuAgAAZHJz&#10;L2Uyb0RvYy54bWxQSwECLQAUAAYACAAAACEAIuanmN8AAAALAQAADwAAAAAAAAAAAAAAAACFBAAA&#10;ZHJzL2Rvd25yZXYueG1sUEsFBgAAAAAEAAQA8wAAAJEFAAAAAA==&#10;" strokecolor="white [3212]">
                <v:textbox style="mso-fit-shape-to-text:t">
                  <w:txbxContent>
                    <w:p w14:paraId="630CC30F" w14:textId="77777777" w:rsidR="006E7D3B" w:rsidRPr="006E7D3B" w:rsidRDefault="006E7D3B" w:rsidP="006E7D3B">
                      <w:pPr>
                        <w:jc w:val="center"/>
                        <w:rPr>
                          <w:rFonts w:asciiTheme="majorHAnsi" w:hAnsiTheme="majorHAnsi" w:cstheme="majorHAnsi"/>
                          <w:sz w:val="22"/>
                        </w:rPr>
                      </w:pPr>
                      <w:r>
                        <w:rPr>
                          <w:rFonts w:asciiTheme="majorHAnsi" w:hAnsiTheme="majorHAnsi"/>
                          <w:sz w:val="22"/>
                        </w:rPr>
                        <w:t>SECRETAR PROVINCIAL</w:t>
                      </w:r>
                    </w:p>
                    <w:p w14:paraId="7BA3F5AE" w14:textId="77777777" w:rsidR="006E7D3B" w:rsidRPr="006E7D3B" w:rsidRDefault="006E7D3B" w:rsidP="008F0F33">
                      <w:pPr>
                        <w:tabs>
                          <w:tab w:val="left" w:pos="0"/>
                          <w:tab w:val="left" w:pos="1080"/>
                        </w:tabs>
                        <w:ind w:right="-12"/>
                        <w:jc w:val="center"/>
                        <w:rPr>
                          <w:rFonts w:asciiTheme="majorHAnsi" w:hAnsiTheme="majorHAnsi" w:cstheme="majorHAnsi"/>
                          <w:sz w:val="22"/>
                        </w:rPr>
                      </w:pPr>
                      <w:r>
                        <w:rPr>
                          <w:rFonts w:asciiTheme="majorHAnsi" w:hAnsiTheme="majorHAnsi"/>
                          <w:sz w:val="22"/>
                        </w:rPr>
                        <w:t>Róbert Ótott</w:t>
                      </w:r>
                    </w:p>
                    <w:p w14:paraId="5C150F3E" w14:textId="3ABAAE53" w:rsidR="006E7D3B" w:rsidRPr="006E7D3B" w:rsidRDefault="006E7D3B" w:rsidP="006E7D3B">
                      <w:pPr>
                        <w:tabs>
                          <w:tab w:val="left" w:pos="0"/>
                          <w:tab w:val="left" w:pos="1080"/>
                        </w:tabs>
                        <w:spacing w:after="280"/>
                        <w:ind w:right="-12"/>
                        <w:jc w:val="center"/>
                        <w:rPr>
                          <w:rFonts w:asciiTheme="majorHAnsi" w:hAnsiTheme="majorHAnsi" w:cstheme="majorHAnsi"/>
                          <w:sz w:val="22"/>
                        </w:rPr>
                      </w:pPr>
                    </w:p>
                  </w:txbxContent>
                </v:textbox>
                <w10:wrap type="square"/>
              </v:shape>
            </w:pict>
          </mc:Fallback>
        </mc:AlternateContent>
      </w:r>
    </w:p>
    <w:p w14:paraId="1049AF3E" w14:textId="0904BD8E" w:rsidR="00A76DC6" w:rsidRPr="001851D0" w:rsidRDefault="00A76DC6">
      <w:pPr>
        <w:jc w:val="both"/>
        <w:rPr>
          <w:rFonts w:asciiTheme="majorHAnsi" w:eastAsia="Calibri" w:hAnsiTheme="majorHAnsi" w:cstheme="majorHAnsi"/>
          <w:color w:val="0D0D0D" w:themeColor="text1" w:themeTint="F2"/>
          <w:sz w:val="22"/>
          <w:szCs w:val="22"/>
        </w:rPr>
      </w:pPr>
    </w:p>
    <w:p w14:paraId="29F6E15D" w14:textId="2E07820F" w:rsidR="00A76DC6" w:rsidRPr="001851D0" w:rsidRDefault="00A76DC6">
      <w:pPr>
        <w:jc w:val="both"/>
        <w:rPr>
          <w:rFonts w:asciiTheme="majorHAnsi" w:eastAsia="Calibri" w:hAnsiTheme="majorHAnsi" w:cstheme="majorHAnsi"/>
          <w:b/>
          <w:bCs/>
          <w:color w:val="0D0D0D" w:themeColor="text1" w:themeTint="F2"/>
          <w:sz w:val="22"/>
          <w:szCs w:val="22"/>
        </w:rPr>
      </w:pPr>
    </w:p>
    <w:sectPr w:rsidR="00A76DC6" w:rsidRPr="001851D0" w:rsidSect="008F0F33">
      <w:headerReference w:type="even" r:id="rId8"/>
      <w:headerReference w:type="default" r:id="rId9"/>
      <w:pgSz w:w="12240" w:h="15840"/>
      <w:pgMar w:top="851" w:right="567" w:bottom="851" w:left="56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1A0D2" w14:textId="77777777" w:rsidR="00C6057B" w:rsidRDefault="00C6057B">
      <w:r>
        <w:separator/>
      </w:r>
    </w:p>
  </w:endnote>
  <w:endnote w:type="continuationSeparator" w:id="0">
    <w:p w14:paraId="2524B666" w14:textId="77777777" w:rsidR="00C6057B" w:rsidRDefault="00C6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21C19" w14:textId="77777777" w:rsidR="00C6057B" w:rsidRDefault="00C6057B">
      <w:r>
        <w:separator/>
      </w:r>
    </w:p>
  </w:footnote>
  <w:footnote w:type="continuationSeparator" w:id="0">
    <w:p w14:paraId="2ACB54C1" w14:textId="77777777" w:rsidR="00C6057B" w:rsidRDefault="00C60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D77A6" w14:textId="77777777" w:rsidR="00A76DC6" w:rsidRDefault="003815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63E3E8C7" w14:textId="77777777" w:rsidR="00A76DC6" w:rsidRDefault="00A76DC6">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517F8" w14:textId="7564D38C" w:rsidR="00A76DC6" w:rsidRDefault="00A76DC6">
    <w:pPr>
      <w:pBdr>
        <w:top w:val="nil"/>
        <w:left w:val="nil"/>
        <w:bottom w:val="nil"/>
        <w:right w:val="nil"/>
        <w:between w:val="nil"/>
      </w:pBdr>
      <w:tabs>
        <w:tab w:val="center" w:pos="4320"/>
        <w:tab w:val="right" w:pos="8640"/>
      </w:tabs>
      <w:jc w:val="center"/>
      <w:rPr>
        <w:color w:val="000000"/>
      </w:rPr>
    </w:pPr>
  </w:p>
  <w:p w14:paraId="0A753BDF" w14:textId="77777777" w:rsidR="00A76DC6" w:rsidRDefault="00A76DC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0C6E"/>
    <w:multiLevelType w:val="multilevel"/>
    <w:tmpl w:val="13DA09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7A09701F"/>
    <w:multiLevelType w:val="hybridMultilevel"/>
    <w:tmpl w:val="135292A8"/>
    <w:lvl w:ilvl="0" w:tplc="2B023C34">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DC6"/>
    <w:rsid w:val="000173BF"/>
    <w:rsid w:val="0002355E"/>
    <w:rsid w:val="00025B07"/>
    <w:rsid w:val="00026E11"/>
    <w:rsid w:val="00032C8D"/>
    <w:rsid w:val="00086329"/>
    <w:rsid w:val="000C2786"/>
    <w:rsid w:val="000C5402"/>
    <w:rsid w:val="00101382"/>
    <w:rsid w:val="0013193F"/>
    <w:rsid w:val="00166031"/>
    <w:rsid w:val="00181021"/>
    <w:rsid w:val="00183476"/>
    <w:rsid w:val="001851D0"/>
    <w:rsid w:val="00192A7D"/>
    <w:rsid w:val="001A6C23"/>
    <w:rsid w:val="001B5100"/>
    <w:rsid w:val="001D59E1"/>
    <w:rsid w:val="001D7AC1"/>
    <w:rsid w:val="001F437B"/>
    <w:rsid w:val="00251886"/>
    <w:rsid w:val="00294F4B"/>
    <w:rsid w:val="002D7496"/>
    <w:rsid w:val="003138EB"/>
    <w:rsid w:val="0037080D"/>
    <w:rsid w:val="003815E3"/>
    <w:rsid w:val="00391E98"/>
    <w:rsid w:val="003E2913"/>
    <w:rsid w:val="0045756D"/>
    <w:rsid w:val="004578BB"/>
    <w:rsid w:val="00466F13"/>
    <w:rsid w:val="004720BC"/>
    <w:rsid w:val="00473451"/>
    <w:rsid w:val="00504301"/>
    <w:rsid w:val="00547E75"/>
    <w:rsid w:val="005A1C50"/>
    <w:rsid w:val="005A464B"/>
    <w:rsid w:val="005C5305"/>
    <w:rsid w:val="00630048"/>
    <w:rsid w:val="00651851"/>
    <w:rsid w:val="00655172"/>
    <w:rsid w:val="00657F79"/>
    <w:rsid w:val="0066746D"/>
    <w:rsid w:val="00675382"/>
    <w:rsid w:val="006A4080"/>
    <w:rsid w:val="006B136E"/>
    <w:rsid w:val="006C3C5C"/>
    <w:rsid w:val="006C62EE"/>
    <w:rsid w:val="006E46F2"/>
    <w:rsid w:val="006E7D3B"/>
    <w:rsid w:val="006F0806"/>
    <w:rsid w:val="006F2E3B"/>
    <w:rsid w:val="006F3D68"/>
    <w:rsid w:val="0072741A"/>
    <w:rsid w:val="0073586B"/>
    <w:rsid w:val="00786DC0"/>
    <w:rsid w:val="007A37F9"/>
    <w:rsid w:val="007C6FED"/>
    <w:rsid w:val="007E418B"/>
    <w:rsid w:val="007F7AC2"/>
    <w:rsid w:val="00806740"/>
    <w:rsid w:val="00821BF5"/>
    <w:rsid w:val="00830130"/>
    <w:rsid w:val="00857C5A"/>
    <w:rsid w:val="00872A79"/>
    <w:rsid w:val="00886EB3"/>
    <w:rsid w:val="008971A2"/>
    <w:rsid w:val="008B0146"/>
    <w:rsid w:val="008B7CA7"/>
    <w:rsid w:val="008F0F33"/>
    <w:rsid w:val="009200E3"/>
    <w:rsid w:val="00920D81"/>
    <w:rsid w:val="009311D2"/>
    <w:rsid w:val="0093285E"/>
    <w:rsid w:val="009D1DB4"/>
    <w:rsid w:val="009D68FA"/>
    <w:rsid w:val="009F182D"/>
    <w:rsid w:val="00A14A41"/>
    <w:rsid w:val="00A277BF"/>
    <w:rsid w:val="00A378FA"/>
    <w:rsid w:val="00A5507D"/>
    <w:rsid w:val="00A76DC6"/>
    <w:rsid w:val="00A92818"/>
    <w:rsid w:val="00AF4881"/>
    <w:rsid w:val="00AF73AB"/>
    <w:rsid w:val="00B159E3"/>
    <w:rsid w:val="00BB0DB1"/>
    <w:rsid w:val="00BD3715"/>
    <w:rsid w:val="00BE44CD"/>
    <w:rsid w:val="00C41E55"/>
    <w:rsid w:val="00C5137F"/>
    <w:rsid w:val="00C6057B"/>
    <w:rsid w:val="00CE6E20"/>
    <w:rsid w:val="00D23B28"/>
    <w:rsid w:val="00D73986"/>
    <w:rsid w:val="00DA4207"/>
    <w:rsid w:val="00DC51AB"/>
    <w:rsid w:val="00E34295"/>
    <w:rsid w:val="00E505A9"/>
    <w:rsid w:val="00E9089A"/>
    <w:rsid w:val="00E97C89"/>
    <w:rsid w:val="00EF663D"/>
    <w:rsid w:val="00F0125F"/>
    <w:rsid w:val="00F02249"/>
    <w:rsid w:val="00F12D6D"/>
    <w:rsid w:val="00F47F40"/>
    <w:rsid w:val="00F8579E"/>
    <w:rsid w:val="00F90479"/>
    <w:rsid w:val="00FC6883"/>
    <w:rsid w:val="00FD3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4022"/>
  <w15:docId w15:val="{7EB20338-B369-4CBC-B47B-768B339B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tabs>
        <w:tab w:val="left" w:pos="3927"/>
        <w:tab w:val="left" w:pos="4114"/>
      </w:tabs>
      <w:ind w:right="5525"/>
      <w:jc w:val="center"/>
      <w:outlineLvl w:val="1"/>
    </w:pPr>
    <w:rPr>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6E46F2"/>
    <w:rPr>
      <w:rFonts w:ascii="Tahoma" w:hAnsi="Tahoma" w:cs="Tahoma"/>
      <w:sz w:val="16"/>
      <w:szCs w:val="16"/>
    </w:rPr>
  </w:style>
  <w:style w:type="character" w:customStyle="1" w:styleId="BalloonTextChar">
    <w:name w:val="Balloon Text Char"/>
    <w:basedOn w:val="DefaultParagraphFont"/>
    <w:link w:val="BalloonText"/>
    <w:uiPriority w:val="99"/>
    <w:semiHidden/>
    <w:rsid w:val="006E46F2"/>
    <w:rPr>
      <w:rFonts w:ascii="Tahoma" w:hAnsi="Tahoma" w:cs="Tahoma"/>
      <w:sz w:val="16"/>
      <w:szCs w:val="16"/>
    </w:rPr>
  </w:style>
  <w:style w:type="character" w:styleId="CommentReference">
    <w:name w:val="annotation reference"/>
    <w:basedOn w:val="DefaultParagraphFont"/>
    <w:uiPriority w:val="99"/>
    <w:semiHidden/>
    <w:unhideWhenUsed/>
    <w:rsid w:val="00E97C89"/>
    <w:rPr>
      <w:sz w:val="16"/>
      <w:szCs w:val="16"/>
    </w:rPr>
  </w:style>
  <w:style w:type="paragraph" w:styleId="CommentText">
    <w:name w:val="annotation text"/>
    <w:basedOn w:val="Normal"/>
    <w:link w:val="CommentTextChar"/>
    <w:uiPriority w:val="99"/>
    <w:semiHidden/>
    <w:unhideWhenUsed/>
    <w:rsid w:val="00E97C89"/>
    <w:rPr>
      <w:sz w:val="20"/>
      <w:szCs w:val="20"/>
    </w:rPr>
  </w:style>
  <w:style w:type="character" w:customStyle="1" w:styleId="CommentTextChar">
    <w:name w:val="Comment Text Char"/>
    <w:basedOn w:val="DefaultParagraphFont"/>
    <w:link w:val="CommentText"/>
    <w:uiPriority w:val="99"/>
    <w:semiHidden/>
    <w:rsid w:val="00E97C89"/>
    <w:rPr>
      <w:sz w:val="20"/>
      <w:szCs w:val="20"/>
    </w:rPr>
  </w:style>
  <w:style w:type="paragraph" w:styleId="CommentSubject">
    <w:name w:val="annotation subject"/>
    <w:basedOn w:val="CommentText"/>
    <w:next w:val="CommentText"/>
    <w:link w:val="CommentSubjectChar"/>
    <w:uiPriority w:val="99"/>
    <w:semiHidden/>
    <w:unhideWhenUsed/>
    <w:rsid w:val="00E97C89"/>
    <w:rPr>
      <w:b/>
      <w:bCs/>
    </w:rPr>
  </w:style>
  <w:style w:type="character" w:customStyle="1" w:styleId="CommentSubjectChar">
    <w:name w:val="Comment Subject Char"/>
    <w:basedOn w:val="CommentTextChar"/>
    <w:link w:val="CommentSubject"/>
    <w:uiPriority w:val="99"/>
    <w:semiHidden/>
    <w:rsid w:val="00E97C89"/>
    <w:rPr>
      <w:b/>
      <w:bCs/>
      <w:sz w:val="20"/>
      <w:szCs w:val="20"/>
    </w:rPr>
  </w:style>
  <w:style w:type="paragraph" w:styleId="ListParagraph">
    <w:name w:val="List Paragraph"/>
    <w:basedOn w:val="Normal"/>
    <w:uiPriority w:val="34"/>
    <w:qFormat/>
    <w:rsid w:val="006E7D3B"/>
    <w:pPr>
      <w:ind w:left="720"/>
      <w:contextualSpacing/>
    </w:pPr>
  </w:style>
  <w:style w:type="paragraph" w:styleId="Footer">
    <w:name w:val="footer"/>
    <w:basedOn w:val="Normal"/>
    <w:link w:val="FooterChar"/>
    <w:uiPriority w:val="99"/>
    <w:unhideWhenUsed/>
    <w:rsid w:val="008F0F33"/>
    <w:pPr>
      <w:tabs>
        <w:tab w:val="center" w:pos="4680"/>
        <w:tab w:val="right" w:pos="9360"/>
      </w:tabs>
    </w:pPr>
  </w:style>
  <w:style w:type="character" w:customStyle="1" w:styleId="FooterChar">
    <w:name w:val="Footer Char"/>
    <w:basedOn w:val="DefaultParagraphFont"/>
    <w:link w:val="Footer"/>
    <w:uiPriority w:val="99"/>
    <w:rsid w:val="008F0F33"/>
  </w:style>
  <w:style w:type="paragraph" w:styleId="Header">
    <w:name w:val="header"/>
    <w:basedOn w:val="Normal"/>
    <w:link w:val="HeaderChar"/>
    <w:uiPriority w:val="99"/>
    <w:unhideWhenUsed/>
    <w:rsid w:val="008F0F33"/>
    <w:pPr>
      <w:tabs>
        <w:tab w:val="center" w:pos="4680"/>
        <w:tab w:val="right" w:pos="9360"/>
      </w:tabs>
    </w:pPr>
  </w:style>
  <w:style w:type="character" w:customStyle="1" w:styleId="HeaderChar">
    <w:name w:val="Header Char"/>
    <w:basedOn w:val="DefaultParagraphFont"/>
    <w:link w:val="Header"/>
    <w:uiPriority w:val="99"/>
    <w:rsid w:val="008F0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dc:creator>
  <cp:lastModifiedBy>Florina Vinka</cp:lastModifiedBy>
  <cp:revision>3</cp:revision>
  <cp:lastPrinted>2025-11-10T11:53:00Z</cp:lastPrinted>
  <dcterms:created xsi:type="dcterms:W3CDTF">2025-11-12T08:14:00Z</dcterms:created>
  <dcterms:modified xsi:type="dcterms:W3CDTF">2025-11-12T09:39:00Z</dcterms:modified>
</cp:coreProperties>
</file>