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6E" w:rsidRDefault="006D325B">
      <w:pPr>
        <w:pStyle w:val="BodyText"/>
        <w:spacing w:before="31"/>
        <w:ind w:left="2891"/>
      </w:pPr>
      <w:r>
        <w:rPr>
          <w:noProof/>
          <w:lang w:val="en-US"/>
        </w:rPr>
        <w:drawing>
          <wp:anchor distT="0" distB="0" distL="0" distR="0" simplePos="0" relativeHeight="251658240" behindDoc="0" locked="0" layoutInCell="1" allowOverlap="1">
            <wp:simplePos x="0" y="0"/>
            <wp:positionH relativeFrom="page">
              <wp:posOffset>1080516</wp:posOffset>
            </wp:positionH>
            <wp:positionV relativeFrom="paragraph">
              <wp:posOffset>19477</wp:posOffset>
            </wp:positionV>
            <wp:extent cx="1462023" cy="9601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462023" cy="960120"/>
                    </a:xfrm>
                    <a:prstGeom prst="rect">
                      <a:avLst/>
                    </a:prstGeom>
                  </pic:spPr>
                </pic:pic>
              </a:graphicData>
            </a:graphic>
          </wp:anchor>
        </w:drawing>
      </w:r>
      <w:r>
        <w:t>Republica Serbia</w:t>
      </w:r>
    </w:p>
    <w:p w:rsidR="006D266E" w:rsidRDefault="006D325B">
      <w:pPr>
        <w:pStyle w:val="BodyText"/>
        <w:ind w:left="2891"/>
      </w:pPr>
      <w:r>
        <w:t>Provincia Autonomă Voivodina</w:t>
      </w:r>
    </w:p>
    <w:p w:rsidR="006D266E" w:rsidRDefault="006D325B">
      <w:pPr>
        <w:ind w:left="2891" w:right="1233"/>
      </w:pPr>
      <w:r>
        <w:rPr>
          <w:b/>
        </w:rPr>
        <w:t>Secretariatul Provincial pentru Educaţie, Reglementări, Administraţie şi Minorităţile Naţionale, Comunităţile Naţionale</w:t>
      </w:r>
      <w:r>
        <w:t>, Bulevar Mihajla Pupina 16, 21000 Novi Sad</w:t>
      </w:r>
    </w:p>
    <w:p w:rsidR="006D266E" w:rsidRDefault="006D325B">
      <w:pPr>
        <w:pStyle w:val="BodyText"/>
        <w:ind w:left="2891"/>
      </w:pPr>
      <w:r>
        <w:t>T: +381 21  487  46 14, 487 40 36, 487 43 36</w:t>
      </w:r>
    </w:p>
    <w:p w:rsidR="006D266E" w:rsidRDefault="006D325B">
      <w:pPr>
        <w:pStyle w:val="BodyText"/>
        <w:ind w:left="2891"/>
      </w:pPr>
      <w:hyperlink r:id="rId5">
        <w:r>
          <w:rPr>
            <w:color w:val="0000FF"/>
            <w:u w:val="single" w:color="0000FF"/>
          </w:rPr>
          <w:t>ounz@vojvodinа.gov.rs</w:t>
        </w:r>
      </w:hyperlink>
    </w:p>
    <w:p w:rsidR="006D266E" w:rsidRDefault="006D266E">
      <w:pPr>
        <w:pStyle w:val="BodyText"/>
        <w:spacing w:before="4"/>
        <w:rPr>
          <w:sz w:val="19"/>
        </w:rPr>
      </w:pPr>
    </w:p>
    <w:p w:rsidR="006D266E" w:rsidRDefault="006D325B">
      <w:pPr>
        <w:pStyle w:val="BodyText"/>
        <w:tabs>
          <w:tab w:val="left" w:pos="6414"/>
        </w:tabs>
        <w:spacing w:before="56"/>
        <w:ind w:left="109"/>
      </w:pPr>
      <w:r>
        <w:t xml:space="preserve">NUMĂRUL: 000227348 2025 09427 004 001 </w:t>
      </w:r>
      <w:r>
        <w:t>000 001/7-3</w:t>
      </w:r>
      <w:r>
        <w:tab/>
        <w:t>DATA: 06.06.2025</w:t>
      </w:r>
    </w:p>
    <w:p w:rsidR="006D266E" w:rsidRDefault="006D266E">
      <w:pPr>
        <w:pStyle w:val="BodyText"/>
        <w:spacing w:before="6"/>
        <w:rPr>
          <w:sz w:val="19"/>
        </w:rPr>
      </w:pPr>
    </w:p>
    <w:p w:rsidR="006D266E" w:rsidRDefault="006D325B">
      <w:pPr>
        <w:pStyle w:val="BodyText"/>
        <w:spacing w:before="57"/>
        <w:ind w:left="481" w:right="104" w:firstLine="540"/>
        <w:jc w:val="both"/>
      </w:pPr>
      <w:r>
        <w:t>În baza art. 15, 16 alineatul 1 şi 5 şi 24 alineatul 2 din Hotărârea Adunării Provinciei privind administraţia provin</w:t>
      </w:r>
      <w:r>
        <w:t>cială ("Buletinul oficial al P.A.V, 37/14, 54/ 14‒altă  hotărâre, 37/16, 29/17, 24/19,  66/20, 38/21 și 22/25), articolului 23,  alineatul 1 şi 4</w:t>
      </w:r>
      <w:r>
        <w:t xml:space="preserve"> din Hotărârea Adunării Provinciei privind bugetul Provinciei Autonome Voivodina pentru anul 2025 („Buletinul o</w:t>
      </w:r>
      <w:r>
        <w:t>ficial al P.A.V.”, numărul 57/24), articolului 8 din Regulamentul  privind repartizarea mijloacelor bugetare ale Secretariatului Provincial pentru Educaţie, Reglementări, Administraţie şi Minorităţile Naţionale – Comunităţile Naţionale pentru finanţarea şi</w:t>
      </w:r>
      <w:r>
        <w:t xml:space="preserve"> cofinanţarea elaborării documentației tehnice pentru nevoile instituțiilor de educaţie şi instrucţie elementară şi medie și ale instituțiilor preșcolare din P.A.Voivodina („Buletinul oficial al P.A.V.”, nr. 5/25 şi 11/25), dar conform Concursului  desfăşu</w:t>
      </w:r>
      <w:r>
        <w:t>rat pentru finanțarea și cofinanțarea elaborării documentației tehnice pentru nevoile instituțiilor de educaţie şi instrucţie elementară şi medie și ale instituțiilor preșcolare numărul   000227348   2025   09427   004   001   000   001 din 29.01.2025 şi 2</w:t>
      </w:r>
      <w:r>
        <w:t>5.02.2025 („Buletinul oficial al P.A:V.“, numărul 6/2025  şi  11/25), secretarul provincial emite:</w:t>
      </w:r>
    </w:p>
    <w:p w:rsidR="006D266E" w:rsidRDefault="006D266E">
      <w:pPr>
        <w:pStyle w:val="BodyText"/>
      </w:pPr>
    </w:p>
    <w:p w:rsidR="006D266E" w:rsidRDefault="006D325B">
      <w:pPr>
        <w:pStyle w:val="Heading2"/>
        <w:ind w:left="719" w:right="163"/>
      </w:pPr>
      <w:r>
        <w:t>DECIZIA</w:t>
      </w:r>
    </w:p>
    <w:p w:rsidR="006D266E" w:rsidRDefault="006D325B">
      <w:pPr>
        <w:ind w:left="724" w:right="163"/>
        <w:jc w:val="center"/>
        <w:rPr>
          <w:b/>
        </w:rPr>
      </w:pPr>
      <w:r>
        <w:rPr>
          <w:b/>
        </w:rPr>
        <w:t>PRIVIND REPARTIZAREA MIJLOACELOR BUGETARE ALE SECRETARIATULUI PROVINCIAL PENTRU EDUCAŢIE, REGLEMENTĂRI, ADMINISTRAŢIE ŞI MINORITĂŢILE NAŢIONALE - CO</w:t>
      </w:r>
      <w:r>
        <w:rPr>
          <w:b/>
        </w:rPr>
        <w:t>MUNITĂŢILE NAŢIONALE PENTRU FINANŢAREA ŞI COFINANŢAREA ELABORĂRII DOCUMENTAȚIEI TEHNICE PENTRU NEVOILE INSTITUŢIILOR PREŞCOLARE DIN TERITORIUL PROVINCIEI AUTONOME VOIVODINA PENTRU ANUL 2025</w:t>
      </w:r>
      <w:r w:rsidR="00FF6BCC">
        <w:rPr>
          <w:b/>
        </w:rPr>
        <w:t xml:space="preserve"> </w:t>
      </w:r>
    </w:p>
    <w:p w:rsidR="006D266E" w:rsidRDefault="006D266E">
      <w:pPr>
        <w:pStyle w:val="BodyText"/>
        <w:rPr>
          <w:b/>
        </w:rPr>
      </w:pPr>
    </w:p>
    <w:p w:rsidR="006D266E" w:rsidRDefault="006D325B">
      <w:pPr>
        <w:spacing w:before="1"/>
        <w:ind w:left="558"/>
        <w:jc w:val="center"/>
        <w:rPr>
          <w:b/>
        </w:rPr>
      </w:pPr>
      <w:r>
        <w:rPr>
          <w:b/>
        </w:rPr>
        <w:t>I</w:t>
      </w:r>
    </w:p>
    <w:p w:rsidR="006D266E" w:rsidRDefault="006D325B">
      <w:pPr>
        <w:ind w:left="623" w:right="105" w:firstLine="566"/>
        <w:jc w:val="both"/>
      </w:pPr>
      <w:r>
        <w:t xml:space="preserve">Prin prezenta decizie se stabileşte repartizarea mijloacelor </w:t>
      </w:r>
      <w:r>
        <w:t xml:space="preserve">bugetare ale Secretariatului Provincial pentru Educaţie, Reglementări, Administraţie şi Minorităţile Naţionale – Comunităţile Naţionale către </w:t>
      </w:r>
      <w:r>
        <w:rPr>
          <w:b/>
        </w:rPr>
        <w:t>instituţiile preșcolare</w:t>
      </w:r>
      <w:r>
        <w:t xml:space="preserve"> conform </w:t>
      </w:r>
      <w:r>
        <w:rPr>
          <w:i/>
        </w:rPr>
        <w:t xml:space="preserve">Concursului pentru finanţarea şi cofinanţarea reconstruirii, adaptării, reparării </w:t>
      </w:r>
      <w:r>
        <w:rPr>
          <w:i/>
        </w:rPr>
        <w:t xml:space="preserve">şi întreţinerii curente şi prin investiţii a clădirilor instituţiilor de instrucţie şi educaţie elementară şi medie şi ale instituţiilor preşcolare din teritoriul Provinciei Autonome Voivodina pentru anul 2025 numărul </w:t>
      </w:r>
      <w:r>
        <w:rPr>
          <w:i/>
        </w:rPr>
        <w:t>000227348 2025 09427 004 001 000 001</w:t>
      </w:r>
      <w:r>
        <w:rPr>
          <w:i/>
        </w:rPr>
        <w:t xml:space="preserve"> d</w:t>
      </w:r>
      <w:r>
        <w:rPr>
          <w:i/>
        </w:rPr>
        <w:t>in 29.01.2025 şi din 25.02.2025 (în continuare:</w:t>
      </w:r>
      <w:r>
        <w:rPr>
          <w:i/>
        </w:rPr>
        <w:t xml:space="preserve"> Concursul).</w:t>
      </w:r>
    </w:p>
    <w:p w:rsidR="006D266E" w:rsidRDefault="006D266E">
      <w:pPr>
        <w:pStyle w:val="BodyText"/>
      </w:pPr>
    </w:p>
    <w:p w:rsidR="006D266E" w:rsidRDefault="006D325B">
      <w:pPr>
        <w:pStyle w:val="Heading2"/>
        <w:ind w:left="723" w:right="163"/>
      </w:pPr>
      <w:r>
        <w:t>II</w:t>
      </w:r>
    </w:p>
    <w:p w:rsidR="006D266E" w:rsidRDefault="006D325B">
      <w:pPr>
        <w:spacing w:before="3" w:line="237" w:lineRule="auto"/>
        <w:ind w:left="623" w:right="117" w:firstLine="566"/>
        <w:jc w:val="both"/>
      </w:pPr>
      <w:r>
        <w:t xml:space="preserve">Prin concurs au fost destinate la toate nivelurile de învăţământ în total </w:t>
      </w:r>
      <w:r>
        <w:rPr>
          <w:b/>
        </w:rPr>
        <w:t>30.000.000,00 dinari</w:t>
      </w:r>
      <w:r>
        <w:t xml:space="preserve"> în cadrul cărora pentru instituţiile preşcolare  </w:t>
      </w:r>
      <w:r>
        <w:rPr>
          <w:b/>
        </w:rPr>
        <w:t>1.000.000,00 dinari.</w:t>
      </w:r>
    </w:p>
    <w:p w:rsidR="006D266E" w:rsidRDefault="006D325B">
      <w:pPr>
        <w:pStyle w:val="BodyText"/>
        <w:ind w:left="623" w:right="117" w:firstLine="566"/>
        <w:jc w:val="both"/>
      </w:pPr>
      <w:r>
        <w:t xml:space="preserve">Prin prezenta decizie se efectuează repartizarea mijloacelor pentru instituțiile preșcolare din teritoriul Provinciei Autonome Voivodina în cuantum total de </w:t>
      </w:r>
      <w:r>
        <w:rPr>
          <w:b/>
        </w:rPr>
        <w:t>862.400,00</w:t>
      </w:r>
      <w:r>
        <w:t xml:space="preserve"> dinari.</w:t>
      </w:r>
      <w:r>
        <w:rPr>
          <w:b/>
        </w:rPr>
        <w:t xml:space="preserve"> </w:t>
      </w:r>
      <w:r>
        <w:t>Mijloace în cuantum de  137.600,00 dinari rămân nerepartizate.</w:t>
      </w:r>
    </w:p>
    <w:p w:rsidR="006D266E" w:rsidRDefault="006D325B">
      <w:pPr>
        <w:pStyle w:val="BodyText"/>
        <w:ind w:left="668" w:right="105" w:firstLine="520"/>
        <w:jc w:val="both"/>
      </w:pPr>
      <w:r>
        <w:t>Mijloacele se apr</w:t>
      </w:r>
      <w:r>
        <w:t>obă unităţilor autoguvernării locale pentru nevoile instituţiilor preşcolare (în continuare:</w:t>
      </w:r>
      <w:r>
        <w:t xml:space="preserve">  Beneficiarii) în conformitate cu tabelul 3 anexat   </w:t>
      </w:r>
      <w:r w:rsidRPr="00A3698C">
        <w:t>REPARTIZAREA MIJLOACELOR PENTRU FINANŢAREA ŞI COFINANŢAREA ELABORĂRII DOCUMENTAȚIEI TEHNICE ALE  INSTITUŢIILOR</w:t>
      </w:r>
      <w:r w:rsidRPr="00A3698C">
        <w:t xml:space="preserve"> PREŞCOLARE DIN TERITORIUL PROVINCIEI AUTONOME VOIVODINA PENTRU ANUL 2025</w:t>
      </w:r>
    </w:p>
    <w:p w:rsidR="006D266E" w:rsidRDefault="006D325B">
      <w:pPr>
        <w:pStyle w:val="BodyText"/>
        <w:ind w:left="668"/>
      </w:pPr>
      <w:r>
        <w:t>care este parte integrantă a prezentei decizii.</w:t>
      </w:r>
    </w:p>
    <w:p w:rsidR="006D266E" w:rsidRDefault="006D266E">
      <w:pPr>
        <w:sectPr w:rsidR="006D266E">
          <w:type w:val="continuous"/>
          <w:pgSz w:w="12240" w:h="15840"/>
          <w:pgMar w:top="480" w:right="1580" w:bottom="280" w:left="1220" w:header="720" w:footer="720" w:gutter="0"/>
          <w:cols w:space="720"/>
        </w:sectPr>
      </w:pPr>
    </w:p>
    <w:p w:rsidR="006D266E" w:rsidRDefault="006D325B">
      <w:pPr>
        <w:pStyle w:val="Heading1"/>
        <w:spacing w:before="60"/>
        <w:ind w:firstLine="0"/>
        <w:rPr>
          <w:rFonts w:ascii="Times New Roman"/>
        </w:rPr>
      </w:pPr>
      <w:r>
        <w:rPr>
          <w:rFonts w:ascii="Times New Roman"/>
        </w:rPr>
        <w:lastRenderedPageBreak/>
        <w:t>2</w:t>
      </w:r>
    </w:p>
    <w:p w:rsidR="006D266E" w:rsidRDefault="006D325B">
      <w:pPr>
        <w:pStyle w:val="Heading2"/>
      </w:pPr>
      <w:r>
        <w:t>III</w:t>
      </w:r>
    </w:p>
    <w:p w:rsidR="006D266E" w:rsidRDefault="006D325B">
      <w:pPr>
        <w:pStyle w:val="BodyText"/>
        <w:ind w:left="243" w:right="105" w:firstLine="626"/>
        <w:jc w:val="both"/>
      </w:pPr>
      <w:r>
        <w:t>Mijloacele prevăzute la punctul II alineatul 2 din prezenta decizie sunt stabilite prin Hotărârea Adunării Provinciei privind bugetul Provinciei Autonome Voivodina pentru anul 2025, în cadrul părţii speciale Secretariatul Provincial pentru Educaţie, Reglem</w:t>
      </w:r>
      <w:r>
        <w:t>entări, Administraţie şi Minorităţile Naţionale – Comunităţile Naţionale (în continuare:</w:t>
      </w:r>
      <w:r>
        <w:t xml:space="preserve">   Secretariatul),  Programul 2002 – Instrucţia preşcolară, Activitatea de program 1002 –  Modernizarea infrastructurii instituţiilor preşcolare, clasificarea funcţiona</w:t>
      </w:r>
      <w:r>
        <w:t xml:space="preserve">lă 910, clasificarea economică 4632 – Transferuri capitale altor niveluri ale puterii, sursa de finanţare 01 00 – Venituri şi încasări generale ale bugetului și se transferă beneficiarilor în conformitate cu afluența mijloacelor în bugetul P.A. Voivodina, </w:t>
      </w:r>
      <w:r>
        <w:t>respectiv cu posibilitățile de lichiditate ale bugetului.</w:t>
      </w:r>
    </w:p>
    <w:p w:rsidR="006D266E" w:rsidRDefault="006D266E">
      <w:pPr>
        <w:pStyle w:val="BodyText"/>
      </w:pPr>
    </w:p>
    <w:p w:rsidR="006D266E" w:rsidRDefault="006D325B">
      <w:pPr>
        <w:pStyle w:val="Heading2"/>
      </w:pPr>
      <w:r>
        <w:t>IV</w:t>
      </w:r>
    </w:p>
    <w:p w:rsidR="006D266E" w:rsidRDefault="006D325B">
      <w:pPr>
        <w:pStyle w:val="BodyText"/>
        <w:ind w:left="243" w:right="105" w:firstLine="566"/>
        <w:jc w:val="both"/>
      </w:pPr>
      <w:r>
        <w:t>Beneficiarii au obligaţia ca la achiziţia elaborării documentaţiei tehnice să procedeze în conformitate cu dispoziţiile Legii privind achiziţiile publice şi actele adoptate în baza legii care re</w:t>
      </w:r>
      <w:r>
        <w:t>glementează achiziţiile publice.</w:t>
      </w:r>
    </w:p>
    <w:p w:rsidR="006D266E" w:rsidRDefault="006D266E">
      <w:pPr>
        <w:pStyle w:val="BodyText"/>
      </w:pPr>
    </w:p>
    <w:p w:rsidR="006D266E" w:rsidRDefault="006D325B">
      <w:pPr>
        <w:pStyle w:val="Heading2"/>
        <w:ind w:left="177" w:right="0"/>
      </w:pPr>
      <w:r>
        <w:t>V</w:t>
      </w:r>
    </w:p>
    <w:p w:rsidR="006D266E" w:rsidRDefault="006D325B">
      <w:pPr>
        <w:pStyle w:val="BodyText"/>
        <w:ind w:left="288" w:right="106" w:firstLine="520"/>
        <w:jc w:val="both"/>
      </w:pPr>
      <w:r>
        <w:t xml:space="preserve">Secretariatul va </w:t>
      </w:r>
      <w:r>
        <w:rPr>
          <w:b/>
        </w:rPr>
        <w:t>înştiinţa beneficiarii</w:t>
      </w:r>
      <w:r>
        <w:t xml:space="preserve"> cu privire la repartizarea mijloacelor stabilită prin prezenta decizie.</w:t>
      </w:r>
    </w:p>
    <w:p w:rsidR="006D266E" w:rsidRDefault="006D266E">
      <w:pPr>
        <w:pStyle w:val="BodyText"/>
      </w:pPr>
    </w:p>
    <w:p w:rsidR="006D266E" w:rsidRDefault="006D325B">
      <w:pPr>
        <w:pStyle w:val="Heading2"/>
        <w:spacing w:before="1"/>
        <w:ind w:left="633"/>
      </w:pPr>
      <w:r>
        <w:t>VI</w:t>
      </w:r>
    </w:p>
    <w:p w:rsidR="006D266E" w:rsidRDefault="006D325B">
      <w:pPr>
        <w:pStyle w:val="BodyText"/>
        <w:ind w:left="788" w:right="455"/>
        <w:jc w:val="center"/>
      </w:pPr>
      <w:r>
        <w:t>Secretariatul va prelua obligaţia faţă de beneficiari în baza contractului în scris.</w:t>
      </w:r>
    </w:p>
    <w:p w:rsidR="006D266E" w:rsidRDefault="006D266E">
      <w:pPr>
        <w:pStyle w:val="BodyText"/>
        <w:spacing w:before="9"/>
        <w:rPr>
          <w:sz w:val="21"/>
        </w:rPr>
      </w:pPr>
    </w:p>
    <w:p w:rsidR="006D266E" w:rsidRDefault="006D325B">
      <w:pPr>
        <w:pStyle w:val="Heading2"/>
        <w:spacing w:before="1"/>
      </w:pPr>
      <w:r>
        <w:t>VII</w:t>
      </w:r>
    </w:p>
    <w:p w:rsidR="006D266E" w:rsidRDefault="006D325B">
      <w:pPr>
        <w:pStyle w:val="BodyText"/>
        <w:ind w:left="735"/>
      </w:pPr>
      <w:r>
        <w:t>Prezenta decizie este definitivă şi împotriva ei nu se poate depune plângere.</w:t>
      </w:r>
    </w:p>
    <w:p w:rsidR="006D266E" w:rsidRDefault="006D266E">
      <w:pPr>
        <w:pStyle w:val="BodyText"/>
      </w:pPr>
    </w:p>
    <w:p w:rsidR="006D266E" w:rsidRDefault="006D325B">
      <w:pPr>
        <w:pStyle w:val="Heading2"/>
        <w:ind w:left="633"/>
      </w:pPr>
      <w:r>
        <w:t>VIII</w:t>
      </w:r>
    </w:p>
    <w:p w:rsidR="006D266E" w:rsidRDefault="006D325B">
      <w:pPr>
        <w:pStyle w:val="BodyText"/>
        <w:ind w:left="288" w:right="108" w:firstLine="446"/>
        <w:jc w:val="both"/>
      </w:pPr>
      <w:r>
        <w:t>Pentru executarea prezentei decizii este responsabil Sectorul pentru activităţi material–financiare al Secretariatului.</w:t>
      </w:r>
    </w:p>
    <w:p w:rsidR="006D266E" w:rsidRDefault="006D266E">
      <w:pPr>
        <w:pStyle w:val="BodyText"/>
      </w:pPr>
    </w:p>
    <w:p w:rsidR="006D266E" w:rsidRDefault="006D325B">
      <w:pPr>
        <w:pStyle w:val="BodyText"/>
        <w:ind w:left="288"/>
      </w:pPr>
      <w:r>
        <w:t>Decizia se trimite:</w:t>
      </w:r>
    </w:p>
    <w:p w:rsidR="006D266E" w:rsidRDefault="006D325B">
      <w:pPr>
        <w:pStyle w:val="BodyText"/>
        <w:spacing w:before="2" w:line="237" w:lineRule="auto"/>
        <w:ind w:left="286" w:right="5394" w:hanging="185"/>
      </w:pPr>
      <w:r>
        <w:t xml:space="preserve">- Sectorului pentru activităţi </w:t>
      </w:r>
      <w:r>
        <w:t>material–financiare ale Secretariatului</w:t>
      </w:r>
    </w:p>
    <w:p w:rsidR="006D266E" w:rsidRDefault="006D266E">
      <w:pPr>
        <w:pStyle w:val="BodyText"/>
      </w:pPr>
    </w:p>
    <w:p w:rsidR="006D266E" w:rsidRDefault="006D325B">
      <w:pPr>
        <w:pStyle w:val="Heading1"/>
        <w:ind w:left="7191" w:right="603"/>
      </w:pPr>
      <w:r>
        <w:pict>
          <v:line id="20542" o:spid="_x0000_s1029" style="position:absolute;left:0;text-align:left;z-index:1048;mso-wrap-distance-left:0;mso-wrap-distance-right:0;mso-position-horizontal-relative:page" from="392.5pt,35.6pt" to="522.4pt,35.6pt" strokeweight=".48pt">
            <w10:wrap type="topAndBottom" anchorx="page"/>
          </v:line>
        </w:pict>
      </w:r>
      <w:r w:rsidR="00390A0B">
        <w:t xml:space="preserve">    </w:t>
      </w:r>
      <w:r>
        <w:t>SECRETAR PROVINCIAL</w:t>
      </w:r>
    </w:p>
    <w:p w:rsidR="006D266E" w:rsidRDefault="006D325B">
      <w:pPr>
        <w:pStyle w:val="BodyText"/>
        <w:spacing w:line="237" w:lineRule="auto"/>
        <w:ind w:left="7160" w:right="607" w:firstLine="43"/>
      </w:pPr>
      <w:r>
        <w:t>Róbert Ótott</w:t>
      </w:r>
    </w:p>
    <w:p w:rsidR="006D266E" w:rsidRDefault="006D266E">
      <w:pPr>
        <w:pStyle w:val="BodyText"/>
        <w:rPr>
          <w:sz w:val="20"/>
        </w:rPr>
      </w:pPr>
    </w:p>
    <w:p w:rsidR="006D266E" w:rsidRDefault="006D266E">
      <w:pPr>
        <w:pStyle w:val="BodyText"/>
        <w:rPr>
          <w:sz w:val="20"/>
        </w:rPr>
      </w:pPr>
    </w:p>
    <w:p w:rsidR="006D266E" w:rsidRDefault="006D325B">
      <w:pPr>
        <w:pStyle w:val="BodyText"/>
        <w:spacing w:before="10"/>
        <w:rPr>
          <w:sz w:val="20"/>
        </w:rPr>
      </w:pPr>
      <w:r>
        <w:pict>
          <v:group id="21704" o:spid="_x0000_s1026" style="position:absolute;margin-left:358.6pt;margin-top:14.7pt;width:165.8pt;height:77.35pt;z-index:1096;mso-wrap-distance-left:0;mso-wrap-distance-right:0;mso-position-horizontal-relative:page" coordorigin="7172,294" coordsize="3316,1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2005" o:spid="_x0000_s1028" type="#_x0000_t75" style="position:absolute;left:7260;top:753;width:883;height:476">
              <v:imagedata r:id="rId6" o:title=""/>
            </v:shape>
            <v:shapetype id="_x0000_t202" coordsize="21600,21600" o:spt="202" path="m,l,21600r21600,l21600,xe">
              <v:stroke joinstyle="miter"/>
              <v:path gradientshapeok="t" o:connecttype="rect"/>
            </v:shapetype>
            <v:shape id="22353" o:spid="_x0000_s1027" type="#_x0000_t202" style="position:absolute;left:7173;top:295;width:3313;height:1544" filled="f" strokeweight=".05136mm">
              <v:textbox inset="0,0,0,0">
                <w:txbxContent>
                  <w:p w:rsidR="006D266E" w:rsidRDefault="006D325B">
                    <w:pPr>
                      <w:spacing w:line="59" w:lineRule="exact"/>
                      <w:ind w:left="1080"/>
                      <w:rPr>
                        <w:sz w:val="5"/>
                      </w:rPr>
                    </w:pPr>
                    <w:r>
                      <w:rPr>
                        <w:sz w:val="5"/>
                      </w:rPr>
                      <w:t>Republica Serbia</w:t>
                    </w:r>
                  </w:p>
                  <w:p w:rsidR="006D266E" w:rsidRDefault="006D325B">
                    <w:pPr>
                      <w:spacing w:line="59" w:lineRule="exact"/>
                      <w:ind w:left="1080"/>
                      <w:rPr>
                        <w:sz w:val="5"/>
                      </w:rPr>
                    </w:pPr>
                    <w:r>
                      <w:rPr>
                        <w:sz w:val="5"/>
                      </w:rPr>
                      <w:t>Provincia Autonomă Voivodina</w:t>
                    </w:r>
                  </w:p>
                  <w:p w:rsidR="006D266E" w:rsidRDefault="006D325B">
                    <w:pPr>
                      <w:spacing w:before="1" w:line="232" w:lineRule="auto"/>
                      <w:ind w:left="1080" w:right="47"/>
                      <w:rPr>
                        <w:sz w:val="5"/>
                      </w:rPr>
                    </w:pPr>
                    <w:r>
                      <w:rPr>
                        <w:sz w:val="5"/>
                      </w:rPr>
                      <w:t>Secretariatul Provincial pentru Educaţie, Reglementări, Administraţie şi Minorităţile Naţionale - Comunităţile Naţionale, Novi Sad</w:t>
                    </w:r>
                  </w:p>
                  <w:p w:rsidR="006D266E" w:rsidRDefault="006D325B">
                    <w:pPr>
                      <w:spacing w:line="59" w:lineRule="exact"/>
                      <w:ind w:left="1080"/>
                      <w:rPr>
                        <w:sz w:val="5"/>
                      </w:rPr>
                    </w:pPr>
                    <w:r>
                      <w:rPr>
                        <w:sz w:val="5"/>
                      </w:rPr>
                      <w:t>Szerb Köztársaság,</w:t>
                    </w:r>
                  </w:p>
                  <w:p w:rsidR="006D266E" w:rsidRDefault="006D325B">
                    <w:pPr>
                      <w:spacing w:line="59" w:lineRule="exact"/>
                      <w:ind w:left="1080"/>
                      <w:rPr>
                        <w:sz w:val="5"/>
                      </w:rPr>
                    </w:pPr>
                    <w:r>
                      <w:rPr>
                        <w:sz w:val="5"/>
                      </w:rPr>
                      <w:t>Vajdaság Autonóm Tartomány</w:t>
                    </w:r>
                  </w:p>
                  <w:p w:rsidR="006D266E" w:rsidRDefault="006D325B">
                    <w:pPr>
                      <w:spacing w:before="1" w:line="232" w:lineRule="auto"/>
                      <w:ind w:left="1080" w:right="299"/>
                      <w:rPr>
                        <w:sz w:val="5"/>
                      </w:rPr>
                    </w:pPr>
                    <w:r>
                      <w:rPr>
                        <w:sz w:val="5"/>
                      </w:rPr>
                      <w:t>Tartományi Oktatási, Jogalkotási, Közigazgatási és Nemzeti Kisebbségi – Nemzeti</w:t>
                    </w:r>
                    <w:r>
                      <w:rPr>
                        <w:sz w:val="5"/>
                      </w:rPr>
                      <w:t xml:space="preserve"> Közösségi Titkárság Újvidék</w:t>
                    </w:r>
                  </w:p>
                  <w:p w:rsidR="006D266E" w:rsidRDefault="006D325B">
                    <w:pPr>
                      <w:spacing w:line="58" w:lineRule="exact"/>
                      <w:ind w:left="1080"/>
                      <w:rPr>
                        <w:sz w:val="5"/>
                      </w:rPr>
                    </w:pPr>
                    <w:r>
                      <w:rPr>
                        <w:sz w:val="5"/>
                      </w:rPr>
                      <w:t>Srbská republika</w:t>
                    </w:r>
                  </w:p>
                  <w:p w:rsidR="006D266E" w:rsidRDefault="006D325B">
                    <w:pPr>
                      <w:spacing w:line="59" w:lineRule="exact"/>
                      <w:ind w:left="1080"/>
                      <w:rPr>
                        <w:sz w:val="5"/>
                      </w:rPr>
                    </w:pPr>
                    <w:r>
                      <w:rPr>
                        <w:sz w:val="5"/>
                      </w:rPr>
                      <w:t>Autonómna pokrajina Vojvodina</w:t>
                    </w:r>
                  </w:p>
                  <w:p w:rsidR="006D266E" w:rsidRDefault="006D325B">
                    <w:pPr>
                      <w:ind w:left="1080" w:right="57"/>
                      <w:rPr>
                        <w:sz w:val="5"/>
                      </w:rPr>
                    </w:pPr>
                    <w:r>
                      <w:rPr>
                        <w:sz w:val="5"/>
                      </w:rPr>
                      <w:t xml:space="preserve">Pokrajinský sekretariát vzdelávania, predpisov, správy a národnostných menšín – národnostných </w:t>
                    </w:r>
                    <w:r>
                      <w:rPr>
                        <w:sz w:val="5"/>
                      </w:rPr>
                      <w:t>spoločenstiev Nový Sad</w:t>
                    </w:r>
                  </w:p>
                  <w:p w:rsidR="006D266E" w:rsidRDefault="006D325B">
                    <w:pPr>
                      <w:spacing w:before="1" w:line="58" w:lineRule="exact"/>
                      <w:ind w:left="1080"/>
                      <w:rPr>
                        <w:sz w:val="5"/>
                      </w:rPr>
                    </w:pPr>
                    <w:r>
                      <w:rPr>
                        <w:sz w:val="5"/>
                      </w:rPr>
                      <w:t>Republika Srbija</w:t>
                    </w:r>
                  </w:p>
                  <w:p w:rsidR="006D266E" w:rsidRDefault="006D325B">
                    <w:pPr>
                      <w:spacing w:line="59" w:lineRule="exact"/>
                      <w:ind w:left="1080"/>
                      <w:rPr>
                        <w:sz w:val="5"/>
                      </w:rPr>
                    </w:pPr>
                    <w:r>
                      <w:rPr>
                        <w:sz w:val="5"/>
                      </w:rPr>
                      <w:t>Autonomna  Pokrajina Vojvodina</w:t>
                    </w:r>
                  </w:p>
                  <w:p w:rsidR="006D266E" w:rsidRDefault="006D325B">
                    <w:pPr>
                      <w:spacing w:before="1" w:line="232" w:lineRule="auto"/>
                      <w:ind w:left="1080" w:right="299"/>
                      <w:rPr>
                        <w:sz w:val="5"/>
                      </w:rPr>
                    </w:pPr>
                    <w:r>
                      <w:rPr>
                        <w:sz w:val="5"/>
                      </w:rPr>
                      <w:t xml:space="preserve">Pokrajinsko tajništvo za obrazovanje, propise, upravu i nacionalne manjine – nacionalne </w:t>
                    </w:r>
                    <w:r>
                      <w:rPr>
                        <w:sz w:val="5"/>
                      </w:rPr>
                      <w:t>zajednice Novi Sad</w:t>
                    </w:r>
                  </w:p>
                  <w:p w:rsidR="006D266E" w:rsidRDefault="006D325B">
                    <w:pPr>
                      <w:spacing w:line="58" w:lineRule="exact"/>
                      <w:ind w:left="1080"/>
                      <w:rPr>
                        <w:sz w:val="5"/>
                      </w:rPr>
                    </w:pPr>
                    <w:r>
                      <w:rPr>
                        <w:sz w:val="5"/>
                      </w:rPr>
                      <w:t>Republica Serbia</w:t>
                    </w:r>
                  </w:p>
                  <w:p w:rsidR="006D266E" w:rsidRDefault="006D325B">
                    <w:pPr>
                      <w:spacing w:line="59" w:lineRule="exact"/>
                      <w:ind w:left="1080"/>
                      <w:rPr>
                        <w:sz w:val="5"/>
                      </w:rPr>
                    </w:pPr>
                    <w:r>
                      <w:rPr>
                        <w:sz w:val="5"/>
                      </w:rPr>
                      <w:t>Provincia Autonomă Voivodina</w:t>
                    </w:r>
                  </w:p>
                  <w:p w:rsidR="006D266E" w:rsidRDefault="006D325B">
                    <w:pPr>
                      <w:ind w:left="1080" w:right="29"/>
                      <w:rPr>
                        <w:sz w:val="5"/>
                      </w:rPr>
                    </w:pPr>
                    <w:r>
                      <w:rPr>
                        <w:sz w:val="5"/>
                      </w:rPr>
                      <w:t>Secretariatul  Provincial  pentru  Educaţie,  Reglementări,  Administraţie  şi  Minorităţile  Naţionale-Comunităţile Naţionale</w:t>
                    </w:r>
                  </w:p>
                  <w:p w:rsidR="006D266E" w:rsidRDefault="006D325B">
                    <w:pPr>
                      <w:spacing w:before="1" w:line="58" w:lineRule="exact"/>
                      <w:ind w:left="1080"/>
                      <w:rPr>
                        <w:sz w:val="5"/>
                      </w:rPr>
                    </w:pPr>
                    <w:r>
                      <w:rPr>
                        <w:sz w:val="5"/>
                      </w:rPr>
                      <w:t>Novi Sad</w:t>
                    </w:r>
                  </w:p>
                  <w:p w:rsidR="006D266E" w:rsidRDefault="006D325B">
                    <w:pPr>
                      <w:spacing w:line="59" w:lineRule="exact"/>
                      <w:ind w:left="1080"/>
                      <w:rPr>
                        <w:sz w:val="5"/>
                      </w:rPr>
                    </w:pPr>
                    <w:r>
                      <w:rPr>
                        <w:sz w:val="5"/>
                      </w:rPr>
                      <w:t>Република Сербия</w:t>
                    </w:r>
                  </w:p>
                  <w:p w:rsidR="006D266E" w:rsidRDefault="006D325B">
                    <w:pPr>
                      <w:spacing w:line="59" w:lineRule="exact"/>
                      <w:ind w:left="1080"/>
                      <w:rPr>
                        <w:sz w:val="5"/>
                      </w:rPr>
                    </w:pPr>
                    <w:r>
                      <w:rPr>
                        <w:sz w:val="5"/>
                      </w:rPr>
                      <w:t>Автономна Покраїна Войводина</w:t>
                    </w:r>
                  </w:p>
                  <w:p w:rsidR="006D266E" w:rsidRDefault="006D325B">
                    <w:pPr>
                      <w:spacing w:line="232" w:lineRule="auto"/>
                      <w:ind w:left="1080" w:right="28"/>
                      <w:rPr>
                        <w:sz w:val="5"/>
                      </w:rPr>
                    </w:pPr>
                    <w:r>
                      <w:rPr>
                        <w:sz w:val="5"/>
                      </w:rPr>
                      <w:t>Покраїнски секретарият за образованє, предписаня, управу и национални менш</w:t>
                    </w:r>
                    <w:r>
                      <w:rPr>
                        <w:sz w:val="5"/>
                      </w:rPr>
                      <w:t>ини-национални заєднїци</w:t>
                    </w:r>
                  </w:p>
                  <w:p w:rsidR="006D266E" w:rsidRDefault="006D325B">
                    <w:pPr>
                      <w:spacing w:line="59" w:lineRule="exact"/>
                      <w:ind w:left="1080"/>
                      <w:rPr>
                        <w:sz w:val="5"/>
                      </w:rPr>
                    </w:pPr>
                    <w:r>
                      <w:rPr>
                        <w:sz w:val="5"/>
                      </w:rPr>
                      <w:t>Novi Sad</w:t>
                    </w:r>
                  </w:p>
                </w:txbxContent>
              </v:textbox>
            </v:shape>
            <w10:wrap type="topAndBottom" anchorx="page"/>
          </v:group>
        </w:pict>
      </w:r>
    </w:p>
    <w:p w:rsidR="006D266E" w:rsidRDefault="006D266E">
      <w:pPr>
        <w:rPr>
          <w:sz w:val="20"/>
        </w:rPr>
        <w:sectPr w:rsidR="006D266E">
          <w:pgSz w:w="12240" w:h="15840"/>
          <w:pgMar w:top="660" w:right="1580" w:bottom="280" w:left="1600" w:header="720" w:footer="720" w:gutter="0"/>
          <w:cols w:space="720"/>
        </w:sectPr>
      </w:pPr>
    </w:p>
    <w:p w:rsidR="006D266E" w:rsidRDefault="006D325B">
      <w:pPr>
        <w:spacing w:before="69"/>
        <w:ind w:left="595" w:right="595"/>
        <w:jc w:val="center"/>
        <w:rPr>
          <w:rFonts w:ascii="Times New Roman" w:hAnsi="Times New Roman"/>
          <w:sz w:val="18"/>
        </w:rPr>
      </w:pPr>
      <w:r>
        <w:rPr>
          <w:rFonts w:ascii="Times New Roman" w:hAnsi="Times New Roman"/>
          <w:sz w:val="18"/>
        </w:rPr>
        <w:lastRenderedPageBreak/>
        <w:t>ТABELA NR. 3:</w:t>
      </w:r>
    </w:p>
    <w:p w:rsidR="006D266E" w:rsidRPr="00390A0B" w:rsidRDefault="006D325B">
      <w:pPr>
        <w:spacing w:before="39" w:after="38" w:line="285" w:lineRule="auto"/>
        <w:ind w:left="595" w:right="601"/>
        <w:jc w:val="center"/>
        <w:rPr>
          <w:rFonts w:ascii="Times New Roman" w:hAnsi="Times New Roman"/>
          <w:sz w:val="18"/>
        </w:rPr>
      </w:pPr>
      <w:bookmarkStart w:id="0" w:name="_GoBack"/>
      <w:r w:rsidRPr="00390A0B">
        <w:rPr>
          <w:rFonts w:ascii="Times New Roman" w:hAnsi="Times New Roman"/>
          <w:sz w:val="18"/>
        </w:rPr>
        <w:t>REPARTIZAREA MIJLOACELOR PENTRU FINANŢAREA ŞI COFINANŢAREA ELABORĂRII DOCUMENTAȚIEI TEHNICE PENTRU NEVOILE  INSTITUŢIILOR PREŞCOLARE DIN TERITORIUL PROVINCIEI AUTONOME VOIVODINA PENTRU ANUL 2025</w:t>
      </w:r>
      <w:r w:rsidR="00390A0B" w:rsidRPr="00390A0B">
        <w:rPr>
          <w:rFonts w:ascii="Times New Roman" w:hAnsi="Times New Roman"/>
          <w:sz w:val="18"/>
        </w:rPr>
        <w:t xml:space="preserve"> </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0"/>
        <w:gridCol w:w="2494"/>
        <w:gridCol w:w="1246"/>
        <w:gridCol w:w="2878"/>
        <w:gridCol w:w="1438"/>
      </w:tblGrid>
      <w:tr w:rsidR="006D266E">
        <w:trPr>
          <w:trHeight w:val="656"/>
        </w:trPr>
        <w:tc>
          <w:tcPr>
            <w:tcW w:w="10166" w:type="dxa"/>
            <w:gridSpan w:val="5"/>
            <w:tcBorders>
              <w:top w:val="nil"/>
              <w:left w:val="nil"/>
              <w:right w:val="nil"/>
            </w:tcBorders>
            <w:shd w:val="clear" w:color="auto" w:fill="13647E"/>
          </w:tcPr>
          <w:bookmarkEnd w:id="0"/>
          <w:p w:rsidR="006D266E" w:rsidRDefault="006D325B">
            <w:pPr>
              <w:pStyle w:val="TableParagraph"/>
              <w:spacing w:before="110" w:line="273" w:lineRule="auto"/>
              <w:ind w:left="141" w:firstLine="21"/>
              <w:rPr>
                <w:sz w:val="17"/>
              </w:rPr>
            </w:pPr>
            <w:r>
              <w:rPr>
                <w:b/>
                <w:color w:val="FFFFFF"/>
                <w:sz w:val="17"/>
              </w:rPr>
              <w:t>PENTRU FINANŢAREA ŞI COFINANŢAREA ELABORĂRII DOCUMENTAȚIEI TEHNICE PENTRU NEVOILE  INSTITUŢIILOR DE EDUCAŢIE ŞI INSTRUCŢIE ELEMENTARĂ ŞI MEDIE ȘI ALE INSTITUȚIILOR PREȘCOLARE DIN TERITORIUL PROVINCIEI AUTONOME VOIVODINA PENTRU ANUL 2025</w:t>
            </w:r>
            <w:r>
              <w:rPr>
                <w:color w:val="FFFFFF"/>
                <w:sz w:val="17"/>
              </w:rPr>
              <w:t xml:space="preserve"> .</w:t>
            </w:r>
          </w:p>
        </w:tc>
      </w:tr>
      <w:tr w:rsidR="006D266E">
        <w:trPr>
          <w:trHeight w:val="954"/>
        </w:trPr>
        <w:tc>
          <w:tcPr>
            <w:tcW w:w="2110" w:type="dxa"/>
            <w:shd w:val="clear" w:color="auto" w:fill="13647E"/>
          </w:tcPr>
          <w:p w:rsidR="006D266E" w:rsidRDefault="006D266E">
            <w:pPr>
              <w:pStyle w:val="TableParagraph"/>
              <w:rPr>
                <w:sz w:val="18"/>
              </w:rPr>
            </w:pPr>
          </w:p>
          <w:p w:rsidR="006D266E" w:rsidRDefault="006D266E">
            <w:pPr>
              <w:pStyle w:val="TableParagraph"/>
              <w:spacing w:before="6"/>
              <w:rPr>
                <w:sz w:val="14"/>
              </w:rPr>
            </w:pPr>
          </w:p>
          <w:p w:rsidR="006D266E" w:rsidRDefault="006D325B">
            <w:pPr>
              <w:pStyle w:val="TableParagraph"/>
              <w:spacing w:before="1"/>
              <w:ind w:left="696" w:right="667"/>
              <w:jc w:val="center"/>
              <w:rPr>
                <w:sz w:val="17"/>
              </w:rPr>
            </w:pPr>
            <w:r>
              <w:rPr>
                <w:color w:val="FFFFFF"/>
                <w:sz w:val="17"/>
              </w:rPr>
              <w:t>nr. curent</w:t>
            </w:r>
          </w:p>
        </w:tc>
        <w:tc>
          <w:tcPr>
            <w:tcW w:w="2494" w:type="dxa"/>
            <w:shd w:val="clear" w:color="auto" w:fill="13647E"/>
          </w:tcPr>
          <w:p w:rsidR="006D266E" w:rsidRDefault="006D266E">
            <w:pPr>
              <w:pStyle w:val="TableParagraph"/>
              <w:rPr>
                <w:sz w:val="18"/>
              </w:rPr>
            </w:pPr>
          </w:p>
          <w:p w:rsidR="006D266E" w:rsidRDefault="006D266E">
            <w:pPr>
              <w:pStyle w:val="TableParagraph"/>
              <w:spacing w:before="6"/>
              <w:rPr>
                <w:sz w:val="14"/>
              </w:rPr>
            </w:pPr>
          </w:p>
          <w:p w:rsidR="006D266E" w:rsidRDefault="006D325B">
            <w:pPr>
              <w:pStyle w:val="TableParagraph"/>
              <w:spacing w:before="1"/>
              <w:ind w:left="242"/>
              <w:rPr>
                <w:sz w:val="17"/>
              </w:rPr>
            </w:pPr>
            <w:r>
              <w:rPr>
                <w:color w:val="FFFFFF"/>
                <w:sz w:val="17"/>
              </w:rPr>
              <w:t>Denumirea semnatarului cererii</w:t>
            </w:r>
          </w:p>
        </w:tc>
        <w:tc>
          <w:tcPr>
            <w:tcW w:w="1246" w:type="dxa"/>
            <w:shd w:val="clear" w:color="auto" w:fill="13647E"/>
          </w:tcPr>
          <w:p w:rsidR="006D266E" w:rsidRDefault="006D266E">
            <w:pPr>
              <w:pStyle w:val="TableParagraph"/>
              <w:rPr>
                <w:sz w:val="18"/>
              </w:rPr>
            </w:pPr>
          </w:p>
          <w:p w:rsidR="006D266E" w:rsidRDefault="006D266E">
            <w:pPr>
              <w:pStyle w:val="TableParagraph"/>
              <w:spacing w:before="6"/>
              <w:rPr>
                <w:sz w:val="14"/>
              </w:rPr>
            </w:pPr>
          </w:p>
          <w:p w:rsidR="006D266E" w:rsidRDefault="006D325B">
            <w:pPr>
              <w:pStyle w:val="TableParagraph"/>
              <w:spacing w:before="1"/>
              <w:ind w:left="385"/>
              <w:rPr>
                <w:sz w:val="17"/>
              </w:rPr>
            </w:pPr>
            <w:r>
              <w:rPr>
                <w:color w:val="FFFFFF"/>
                <w:sz w:val="17"/>
              </w:rPr>
              <w:t>Localitatea</w:t>
            </w:r>
          </w:p>
        </w:tc>
        <w:tc>
          <w:tcPr>
            <w:tcW w:w="2878" w:type="dxa"/>
            <w:shd w:val="clear" w:color="auto" w:fill="13647E"/>
          </w:tcPr>
          <w:p w:rsidR="006D266E" w:rsidRDefault="006D266E">
            <w:pPr>
              <w:pStyle w:val="TableParagraph"/>
              <w:rPr>
                <w:sz w:val="18"/>
              </w:rPr>
            </w:pPr>
          </w:p>
          <w:p w:rsidR="006D266E" w:rsidRDefault="006D266E">
            <w:pPr>
              <w:pStyle w:val="TableParagraph"/>
              <w:spacing w:before="6"/>
              <w:rPr>
                <w:sz w:val="14"/>
              </w:rPr>
            </w:pPr>
          </w:p>
          <w:p w:rsidR="006D266E" w:rsidRDefault="006D325B">
            <w:pPr>
              <w:pStyle w:val="TableParagraph"/>
              <w:spacing w:before="1"/>
              <w:ind w:left="305"/>
              <w:rPr>
                <w:sz w:val="17"/>
              </w:rPr>
            </w:pPr>
            <w:r>
              <w:rPr>
                <w:color w:val="FFFFFF"/>
                <w:sz w:val="17"/>
              </w:rPr>
              <w:t>Destinaţia mijloacelor acordate</w:t>
            </w:r>
          </w:p>
        </w:tc>
        <w:tc>
          <w:tcPr>
            <w:tcW w:w="1438" w:type="dxa"/>
            <w:shd w:val="clear" w:color="auto" w:fill="13647E"/>
          </w:tcPr>
          <w:p w:rsidR="006D266E" w:rsidRDefault="006D266E">
            <w:pPr>
              <w:pStyle w:val="TableParagraph"/>
              <w:rPr>
                <w:sz w:val="23"/>
              </w:rPr>
            </w:pPr>
          </w:p>
          <w:p w:rsidR="006D266E" w:rsidRDefault="006D325B">
            <w:pPr>
              <w:pStyle w:val="TableParagraph"/>
              <w:spacing w:line="273" w:lineRule="auto"/>
              <w:ind w:left="346" w:hanging="300"/>
              <w:rPr>
                <w:sz w:val="17"/>
              </w:rPr>
            </w:pPr>
            <w:r>
              <w:rPr>
                <w:color w:val="FFFFFF"/>
                <w:sz w:val="17"/>
              </w:rPr>
              <w:t>Cuantumul mijloacelor acordate</w:t>
            </w:r>
          </w:p>
        </w:tc>
      </w:tr>
      <w:tr w:rsidR="006D266E">
        <w:trPr>
          <w:trHeight w:val="1129"/>
        </w:trPr>
        <w:tc>
          <w:tcPr>
            <w:tcW w:w="2110" w:type="dxa"/>
            <w:shd w:val="clear" w:color="auto" w:fill="FFD1D1"/>
          </w:tcPr>
          <w:p w:rsidR="006D266E" w:rsidRDefault="006D266E">
            <w:pPr>
              <w:pStyle w:val="TableParagraph"/>
              <w:rPr>
                <w:sz w:val="18"/>
              </w:rPr>
            </w:pPr>
          </w:p>
          <w:p w:rsidR="006D266E" w:rsidRDefault="006D266E">
            <w:pPr>
              <w:pStyle w:val="TableParagraph"/>
              <w:spacing w:before="3"/>
            </w:pPr>
          </w:p>
          <w:p w:rsidR="006D266E" w:rsidRDefault="006D325B">
            <w:pPr>
              <w:pStyle w:val="TableParagraph"/>
              <w:ind w:left="16"/>
              <w:jc w:val="center"/>
              <w:rPr>
                <w:sz w:val="17"/>
              </w:rPr>
            </w:pPr>
            <w:r>
              <w:rPr>
                <w:sz w:val="17"/>
              </w:rPr>
              <w:t>1</w:t>
            </w:r>
          </w:p>
        </w:tc>
        <w:tc>
          <w:tcPr>
            <w:tcW w:w="2494" w:type="dxa"/>
            <w:shd w:val="clear" w:color="auto" w:fill="EBEBD1"/>
          </w:tcPr>
          <w:p w:rsidR="006D266E" w:rsidRDefault="006D266E">
            <w:pPr>
              <w:pStyle w:val="TableParagraph"/>
              <w:rPr>
                <w:sz w:val="18"/>
              </w:rPr>
            </w:pPr>
          </w:p>
          <w:p w:rsidR="006D266E" w:rsidRDefault="006D266E">
            <w:pPr>
              <w:pStyle w:val="TableParagraph"/>
              <w:spacing w:before="3"/>
            </w:pPr>
          </w:p>
          <w:p w:rsidR="006D266E" w:rsidRDefault="006D325B">
            <w:pPr>
              <w:pStyle w:val="TableParagraph"/>
              <w:ind w:left="27"/>
              <w:rPr>
                <w:sz w:val="17"/>
              </w:rPr>
            </w:pPr>
            <w:r>
              <w:rPr>
                <w:sz w:val="17"/>
              </w:rPr>
              <w:t>Comuna Bačka Topola</w:t>
            </w:r>
          </w:p>
        </w:tc>
        <w:tc>
          <w:tcPr>
            <w:tcW w:w="1246" w:type="dxa"/>
            <w:shd w:val="clear" w:color="auto" w:fill="EBEBD1"/>
          </w:tcPr>
          <w:p w:rsidR="006D266E" w:rsidRDefault="006D266E">
            <w:pPr>
              <w:pStyle w:val="TableParagraph"/>
              <w:rPr>
                <w:sz w:val="18"/>
              </w:rPr>
            </w:pPr>
          </w:p>
          <w:p w:rsidR="006D266E" w:rsidRDefault="006D266E">
            <w:pPr>
              <w:pStyle w:val="TableParagraph"/>
              <w:spacing w:before="3"/>
            </w:pPr>
          </w:p>
          <w:p w:rsidR="006D266E" w:rsidRDefault="006D325B">
            <w:pPr>
              <w:pStyle w:val="TableParagraph"/>
              <w:ind w:left="25"/>
              <w:rPr>
                <w:sz w:val="17"/>
              </w:rPr>
            </w:pPr>
            <w:r>
              <w:rPr>
                <w:sz w:val="17"/>
              </w:rPr>
              <w:t>Bačka Topola</w:t>
            </w:r>
          </w:p>
        </w:tc>
        <w:tc>
          <w:tcPr>
            <w:tcW w:w="2878" w:type="dxa"/>
            <w:shd w:val="clear" w:color="auto" w:fill="EBEBD1"/>
          </w:tcPr>
          <w:p w:rsidR="006D266E" w:rsidRDefault="006D325B">
            <w:pPr>
              <w:pStyle w:val="TableParagraph"/>
              <w:spacing w:before="17" w:line="273" w:lineRule="auto"/>
              <w:ind w:left="27" w:right="130"/>
              <w:rPr>
                <w:sz w:val="17"/>
              </w:rPr>
            </w:pPr>
            <w:r>
              <w:rPr>
                <w:sz w:val="17"/>
              </w:rPr>
              <w:t>pentru cofinanțarea elaborării proiectului conceptual pentru asanarea toaletelor și a instalațiilor interne ale sistemelor de alimentare cu apă și canalizare la IP „Bambi” din Bačka</w:t>
            </w:r>
          </w:p>
          <w:p w:rsidR="006D266E" w:rsidRDefault="006D325B">
            <w:pPr>
              <w:pStyle w:val="TableParagraph"/>
              <w:spacing w:before="1"/>
              <w:ind w:left="27"/>
              <w:rPr>
                <w:sz w:val="17"/>
              </w:rPr>
            </w:pPr>
            <w:r>
              <w:rPr>
                <w:sz w:val="17"/>
              </w:rPr>
              <w:t>Topola</w:t>
            </w:r>
          </w:p>
        </w:tc>
        <w:tc>
          <w:tcPr>
            <w:tcW w:w="1438" w:type="dxa"/>
            <w:shd w:val="clear" w:color="auto" w:fill="AFFFD8"/>
          </w:tcPr>
          <w:p w:rsidR="006D266E" w:rsidRDefault="006D266E">
            <w:pPr>
              <w:pStyle w:val="TableParagraph"/>
              <w:rPr>
                <w:sz w:val="18"/>
              </w:rPr>
            </w:pPr>
          </w:p>
          <w:p w:rsidR="006D266E" w:rsidRDefault="006D266E">
            <w:pPr>
              <w:pStyle w:val="TableParagraph"/>
              <w:spacing w:before="3"/>
            </w:pPr>
          </w:p>
          <w:p w:rsidR="006D266E" w:rsidRDefault="006D325B">
            <w:pPr>
              <w:pStyle w:val="TableParagraph"/>
              <w:ind w:right="11"/>
              <w:jc w:val="right"/>
              <w:rPr>
                <w:sz w:val="17"/>
              </w:rPr>
            </w:pPr>
            <w:r>
              <w:rPr>
                <w:sz w:val="17"/>
              </w:rPr>
              <w:t>668.000,00</w:t>
            </w:r>
          </w:p>
        </w:tc>
      </w:tr>
      <w:tr w:rsidR="006D266E">
        <w:trPr>
          <w:trHeight w:val="966"/>
        </w:trPr>
        <w:tc>
          <w:tcPr>
            <w:tcW w:w="2110" w:type="dxa"/>
            <w:shd w:val="clear" w:color="auto" w:fill="FFD1D1"/>
          </w:tcPr>
          <w:p w:rsidR="006D266E" w:rsidRDefault="006D266E">
            <w:pPr>
              <w:pStyle w:val="TableParagraph"/>
              <w:rPr>
                <w:sz w:val="18"/>
              </w:rPr>
            </w:pPr>
          </w:p>
          <w:p w:rsidR="006D266E" w:rsidRDefault="006D266E">
            <w:pPr>
              <w:pStyle w:val="TableParagraph"/>
              <w:spacing w:before="2"/>
              <w:rPr>
                <w:sz w:val="15"/>
              </w:rPr>
            </w:pPr>
          </w:p>
          <w:p w:rsidR="006D266E" w:rsidRDefault="006D325B">
            <w:pPr>
              <w:pStyle w:val="TableParagraph"/>
              <w:ind w:left="16"/>
              <w:jc w:val="center"/>
              <w:rPr>
                <w:sz w:val="17"/>
              </w:rPr>
            </w:pPr>
            <w:r>
              <w:rPr>
                <w:sz w:val="17"/>
              </w:rPr>
              <w:t>2</w:t>
            </w:r>
          </w:p>
        </w:tc>
        <w:tc>
          <w:tcPr>
            <w:tcW w:w="2494" w:type="dxa"/>
            <w:shd w:val="clear" w:color="auto" w:fill="EBEBD1"/>
          </w:tcPr>
          <w:p w:rsidR="006D266E" w:rsidRDefault="006D266E">
            <w:pPr>
              <w:pStyle w:val="TableParagraph"/>
              <w:rPr>
                <w:sz w:val="18"/>
              </w:rPr>
            </w:pPr>
          </w:p>
          <w:p w:rsidR="006D266E" w:rsidRDefault="006D266E">
            <w:pPr>
              <w:pStyle w:val="TableParagraph"/>
              <w:spacing w:before="2"/>
              <w:rPr>
                <w:sz w:val="15"/>
              </w:rPr>
            </w:pPr>
          </w:p>
          <w:p w:rsidR="006D266E" w:rsidRDefault="006D325B">
            <w:pPr>
              <w:pStyle w:val="TableParagraph"/>
              <w:ind w:left="27"/>
              <w:rPr>
                <w:sz w:val="17"/>
              </w:rPr>
            </w:pPr>
            <w:r>
              <w:rPr>
                <w:sz w:val="17"/>
              </w:rPr>
              <w:t>Comuna Mali Iđoš</w:t>
            </w:r>
          </w:p>
        </w:tc>
        <w:tc>
          <w:tcPr>
            <w:tcW w:w="1246" w:type="dxa"/>
            <w:shd w:val="clear" w:color="auto" w:fill="EBEBD1"/>
          </w:tcPr>
          <w:p w:rsidR="006D266E" w:rsidRDefault="006D266E">
            <w:pPr>
              <w:pStyle w:val="TableParagraph"/>
              <w:rPr>
                <w:sz w:val="18"/>
              </w:rPr>
            </w:pPr>
          </w:p>
          <w:p w:rsidR="006D266E" w:rsidRDefault="006D266E">
            <w:pPr>
              <w:pStyle w:val="TableParagraph"/>
              <w:spacing w:before="2"/>
              <w:rPr>
                <w:sz w:val="15"/>
              </w:rPr>
            </w:pPr>
          </w:p>
          <w:p w:rsidR="006D266E" w:rsidRDefault="006D325B">
            <w:pPr>
              <w:pStyle w:val="TableParagraph"/>
              <w:ind w:left="25"/>
              <w:rPr>
                <w:sz w:val="17"/>
              </w:rPr>
            </w:pPr>
            <w:r>
              <w:rPr>
                <w:sz w:val="17"/>
              </w:rPr>
              <w:t>Mali Iđoš</w:t>
            </w:r>
          </w:p>
        </w:tc>
        <w:tc>
          <w:tcPr>
            <w:tcW w:w="2878" w:type="dxa"/>
            <w:shd w:val="clear" w:color="auto" w:fill="EBEBD1"/>
          </w:tcPr>
          <w:p w:rsidR="006D266E" w:rsidRDefault="006D325B">
            <w:pPr>
              <w:pStyle w:val="TableParagraph"/>
              <w:spacing w:before="46" w:line="273" w:lineRule="auto"/>
              <w:ind w:left="27" w:right="130"/>
              <w:rPr>
                <w:sz w:val="17"/>
              </w:rPr>
            </w:pPr>
            <w:r>
              <w:rPr>
                <w:sz w:val="17"/>
              </w:rPr>
              <w:t>pentru finanțarea elaborării Actului privind evaluarea riscurilor în protecția persoanelor, proprietății și gestionării și a Planului și Proiectului sistemului de protecţie tehnică.</w:t>
            </w:r>
          </w:p>
        </w:tc>
        <w:tc>
          <w:tcPr>
            <w:tcW w:w="1438" w:type="dxa"/>
            <w:shd w:val="clear" w:color="auto" w:fill="AFFFD8"/>
          </w:tcPr>
          <w:p w:rsidR="006D266E" w:rsidRDefault="006D266E">
            <w:pPr>
              <w:pStyle w:val="TableParagraph"/>
              <w:rPr>
                <w:sz w:val="18"/>
              </w:rPr>
            </w:pPr>
          </w:p>
          <w:p w:rsidR="006D266E" w:rsidRDefault="006D266E">
            <w:pPr>
              <w:pStyle w:val="TableParagraph"/>
              <w:spacing w:before="2"/>
              <w:rPr>
                <w:sz w:val="15"/>
              </w:rPr>
            </w:pPr>
          </w:p>
          <w:p w:rsidR="006D266E" w:rsidRDefault="006D325B">
            <w:pPr>
              <w:pStyle w:val="TableParagraph"/>
              <w:ind w:right="11"/>
              <w:jc w:val="right"/>
              <w:rPr>
                <w:sz w:val="17"/>
              </w:rPr>
            </w:pPr>
            <w:r>
              <w:rPr>
                <w:sz w:val="17"/>
              </w:rPr>
              <w:t>194.400,00</w:t>
            </w:r>
          </w:p>
        </w:tc>
      </w:tr>
      <w:tr w:rsidR="006D266E">
        <w:trPr>
          <w:trHeight w:val="227"/>
        </w:trPr>
        <w:tc>
          <w:tcPr>
            <w:tcW w:w="2110" w:type="dxa"/>
            <w:shd w:val="clear" w:color="auto" w:fill="BABABA"/>
          </w:tcPr>
          <w:p w:rsidR="006D266E" w:rsidRDefault="006D266E">
            <w:pPr>
              <w:pStyle w:val="TableParagraph"/>
              <w:rPr>
                <w:sz w:val="16"/>
              </w:rPr>
            </w:pPr>
          </w:p>
        </w:tc>
        <w:tc>
          <w:tcPr>
            <w:tcW w:w="2494" w:type="dxa"/>
            <w:shd w:val="clear" w:color="auto" w:fill="BABABA"/>
          </w:tcPr>
          <w:p w:rsidR="006D266E" w:rsidRDefault="006D266E">
            <w:pPr>
              <w:pStyle w:val="TableParagraph"/>
              <w:rPr>
                <w:sz w:val="16"/>
              </w:rPr>
            </w:pPr>
          </w:p>
        </w:tc>
        <w:tc>
          <w:tcPr>
            <w:tcW w:w="1246" w:type="dxa"/>
            <w:shd w:val="clear" w:color="auto" w:fill="BABABA"/>
          </w:tcPr>
          <w:p w:rsidR="006D266E" w:rsidRDefault="006D266E">
            <w:pPr>
              <w:pStyle w:val="TableParagraph"/>
              <w:rPr>
                <w:sz w:val="16"/>
              </w:rPr>
            </w:pPr>
          </w:p>
        </w:tc>
        <w:tc>
          <w:tcPr>
            <w:tcW w:w="2878" w:type="dxa"/>
            <w:shd w:val="clear" w:color="auto" w:fill="BABABA"/>
          </w:tcPr>
          <w:p w:rsidR="006D266E" w:rsidRDefault="006D266E">
            <w:pPr>
              <w:pStyle w:val="TableParagraph"/>
              <w:rPr>
                <w:sz w:val="16"/>
              </w:rPr>
            </w:pPr>
          </w:p>
        </w:tc>
        <w:tc>
          <w:tcPr>
            <w:tcW w:w="1438" w:type="dxa"/>
            <w:shd w:val="clear" w:color="auto" w:fill="BABABA"/>
          </w:tcPr>
          <w:p w:rsidR="006D266E" w:rsidRDefault="006D325B">
            <w:pPr>
              <w:pStyle w:val="TableParagraph"/>
              <w:spacing w:before="12" w:line="195" w:lineRule="exact"/>
              <w:ind w:right="11"/>
              <w:jc w:val="right"/>
              <w:rPr>
                <w:sz w:val="17"/>
              </w:rPr>
            </w:pPr>
            <w:r>
              <w:rPr>
                <w:sz w:val="17"/>
              </w:rPr>
              <w:t>862.400,00</w:t>
            </w:r>
          </w:p>
        </w:tc>
      </w:tr>
    </w:tbl>
    <w:p w:rsidR="006D325B" w:rsidRDefault="006D325B"/>
    <w:sectPr w:rsidR="006D325B">
      <w:pgSz w:w="12240" w:h="15840"/>
      <w:pgMar w:top="1080" w:right="9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D266E"/>
    <w:rsid w:val="00390A0B"/>
    <w:rsid w:val="00406A6C"/>
    <w:rsid w:val="006D266E"/>
    <w:rsid w:val="006D325B"/>
    <w:rsid w:val="00A3698C"/>
    <w:rsid w:val="00E4427C"/>
    <w:rsid w:val="00FF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4D4535A-2EF9-4B2B-84FA-7B17F2E8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460" w:hanging="248"/>
      <w:outlineLvl w:val="0"/>
    </w:pPr>
    <w:rPr>
      <w:sz w:val="24"/>
      <w:szCs w:val="24"/>
    </w:rPr>
  </w:style>
  <w:style w:type="paragraph" w:styleId="Heading2">
    <w:name w:val="heading 2"/>
    <w:basedOn w:val="Normal"/>
    <w:uiPriority w:val="1"/>
    <w:qFormat/>
    <w:pPr>
      <w:ind w:left="635" w:right="455"/>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ounz@vojvodin&#1072;.gov.r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Čoban</cp:lastModifiedBy>
  <cp:revision>6</cp:revision>
  <dcterms:created xsi:type="dcterms:W3CDTF">2025-06-09T14:00:00Z</dcterms:created>
  <dcterms:modified xsi:type="dcterms:W3CDTF">2025-06-09T12:54:00Z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LastSaved">
    <vt:filetime>2025-06-09T00:00:00Z</vt:filetime>
  </property>
</Properties>
</file>