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A01009" w:rsidRPr="00CB3454">
        <w:trPr>
          <w:trHeight w:val="1975"/>
        </w:trPr>
        <w:tc>
          <w:tcPr>
            <w:tcW w:w="2410" w:type="dxa"/>
          </w:tcPr>
          <w:p w:rsidR="00A01009" w:rsidRPr="00CB3454" w:rsidRDefault="00187BE5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CB3454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A01009" w:rsidRPr="00CB3454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>Srbská republika</w:t>
            </w:r>
          </w:p>
          <w:p w:rsidR="00A01009" w:rsidRPr="00CB3454" w:rsidRDefault="00187BE5">
            <w:pPr>
              <w:rPr>
                <w:rFonts w:asciiTheme="minorHAnsi" w:hAnsiTheme="minorHAnsi" w:cstheme="minorHAnsi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>Autonómna pokrajina Vojvodina</w:t>
            </w:r>
          </w:p>
          <w:p w:rsidR="00A01009" w:rsidRPr="00CB3454" w:rsidRDefault="00187BE5">
            <w:pPr>
              <w:rPr>
                <w:rFonts w:asciiTheme="minorHAnsi" w:hAnsiTheme="minorHAnsi" w:cstheme="minorHAnsi"/>
                <w:b/>
              </w:rPr>
            </w:pPr>
            <w:r w:rsidRPr="00CB3454">
              <w:rPr>
                <w:rFonts w:asciiTheme="minorHAnsi" w:hAnsiTheme="minorHAnsi" w:cstheme="minorHAnsi"/>
                <w:b/>
                <w:sz w:val="22"/>
                <w:szCs w:val="22"/>
              </w:rPr>
              <w:t>Pokrajinský sekretariát vzdelávania, predpisov,</w:t>
            </w:r>
          </w:p>
          <w:p w:rsidR="00A01009" w:rsidRPr="00CB3454" w:rsidRDefault="00187BE5">
            <w:pPr>
              <w:rPr>
                <w:rFonts w:asciiTheme="minorHAnsi" w:hAnsiTheme="minorHAnsi" w:cstheme="minorHAnsi"/>
                <w:b/>
              </w:rPr>
            </w:pPr>
            <w:r w:rsidRPr="00CB3454">
              <w:rPr>
                <w:rFonts w:asciiTheme="minorHAnsi" w:hAnsiTheme="minorHAnsi" w:cs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A01009" w:rsidRPr="00CB3454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>Bulvár Mihajla Pupina 16, 21 000 Nový Sad</w:t>
            </w:r>
          </w:p>
          <w:p w:rsidR="00A01009" w:rsidRPr="00CB3454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>T: +381 21  487  46 14, 487 40 36, 487 43 36</w:t>
            </w:r>
          </w:p>
          <w:p w:rsidR="00A01009" w:rsidRPr="00CB3454" w:rsidRDefault="00D57EF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7" w:history="1">
              <w:r w:rsidR="00187BE5" w:rsidRPr="00CB345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A01009" w:rsidRPr="00CB3454" w:rsidRDefault="00A0100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A01009" w:rsidRPr="00CB3454" w:rsidRDefault="00A01009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A01009" w:rsidRPr="00CB3454">
        <w:trPr>
          <w:trHeight w:val="426"/>
        </w:trPr>
        <w:tc>
          <w:tcPr>
            <w:tcW w:w="4720" w:type="dxa"/>
          </w:tcPr>
          <w:p w:rsidR="00A01009" w:rsidRPr="00CB3454" w:rsidRDefault="00187BE5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0"/>
                <w:szCs w:val="20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3454">
              <w:rPr>
                <w:rFonts w:asciiTheme="minorHAnsi" w:hAnsiTheme="minorHAnsi" w:cstheme="minorHAnsi"/>
                <w:sz w:val="20"/>
                <w:szCs w:val="20"/>
              </w:rPr>
              <w:t xml:space="preserve">ČÍSLO: </w:t>
            </w:r>
            <w:r w:rsidRPr="00CB345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000227353 2025 09427 004 001 000 001/7-1</w:t>
            </w:r>
          </w:p>
          <w:p w:rsidR="00A01009" w:rsidRPr="00CB3454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A01009" w:rsidRPr="00CB3454" w:rsidRDefault="00187B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 w:rsidRPr="00CB345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DÁTUM: </w:t>
            </w:r>
            <w:r w:rsidRPr="00CB3454">
              <w:rPr>
                <w:rFonts w:asciiTheme="minorHAnsi" w:hAnsiTheme="minorHAnsi" w:cstheme="minorHAnsi"/>
                <w:sz w:val="22"/>
                <w:szCs w:val="22"/>
              </w:rPr>
              <w:t>21. 7. 2025</w:t>
            </w:r>
          </w:p>
          <w:p w:rsidR="00A01009" w:rsidRPr="00CB3454" w:rsidRDefault="00A0100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A01009" w:rsidRPr="00CB3454" w:rsidRDefault="00187BE5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CB3454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66/20, 38/21 a 22/25), článku 23 odsek 1 a 4 Pokrajinského parlamentného uznesenia o rozpočte Autonómnej pokrajiny Vojvodiny na rok 2025 (Úradný vestník APV č. 57/24), článku 8 Pravidiel pridelenia rozpočtových prostriedkov Pokrajinského sekretariátu vzdelávania, predpisov, správy, národnostných menšín – národnostných spoločenstiev na financovanie a spolufinancovanie rekonštrukcie, adaptácie, sanácie, investičnej a bežnej údržby objektov ustanovizní základného, stredného vzdelávania a výchovy, žiackeho štandardu a predškolských ustanovizní na území Autonómnej pokrajiny Vojvodiny (Úradný vestník APV č. 5/25), a podľa uskutočneného Súbehu na financovanie a spolufinancovanie rekonštrukcie, adaptácie, sanácie, investičnej a bežnej údržby objektov ustanovizní základného, stredného vzdelávania a výchovy, žiackeho štandardu a predškolských ustanovizní na území Au</w:t>
      </w:r>
      <w:r w:rsidR="00E80D04">
        <w:rPr>
          <w:rFonts w:asciiTheme="minorHAnsi" w:hAnsiTheme="minorHAnsi" w:cstheme="minorHAnsi"/>
          <w:sz w:val="22"/>
          <w:szCs w:val="22"/>
        </w:rPr>
        <w:t xml:space="preserve">tonómnej pokrajiny Vojvodiny </w:t>
      </w:r>
      <w:bookmarkStart w:id="0" w:name="_GoBack"/>
      <w:bookmarkEnd w:id="0"/>
      <w:r w:rsidRPr="00CB3454">
        <w:rPr>
          <w:rFonts w:asciiTheme="minorHAnsi" w:hAnsiTheme="minorHAnsi" w:cstheme="minorHAnsi"/>
          <w:sz w:val="22"/>
          <w:szCs w:val="22"/>
        </w:rPr>
        <w:t xml:space="preserve">číslo </w:t>
      </w:r>
      <w:r w:rsidRPr="00CB3454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Pr="00CB3454">
        <w:rPr>
          <w:rFonts w:asciiTheme="minorHAnsi" w:hAnsiTheme="minorHAnsi" w:cstheme="minorHAnsi"/>
          <w:sz w:val="22"/>
          <w:szCs w:val="22"/>
        </w:rPr>
        <w:t xml:space="preserve"> zo dňa 5. 2. 2025 (Úr. vestník APV číslo 7/25), pokrajinský tajomník vynáša:</w:t>
      </w:r>
    </w:p>
    <w:p w:rsidR="00A01009" w:rsidRPr="00CB3454" w:rsidRDefault="00A01009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</w:rPr>
      </w:pPr>
      <w:r w:rsidRPr="00CB3454">
        <w:rPr>
          <w:rFonts w:asciiTheme="minorHAnsi" w:hAnsiTheme="minorHAnsi" w:cstheme="minorHAnsi"/>
          <w:b/>
          <w:bCs/>
          <w:color w:val="000000"/>
        </w:rPr>
        <w:t>ROZHODNUTIE</w:t>
      </w: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</w:rPr>
      </w:pPr>
      <w:r w:rsidRPr="00CB3454">
        <w:rPr>
          <w:rFonts w:asciiTheme="minorHAnsi" w:hAnsiTheme="minorHAnsi" w:cstheme="minorHAnsi"/>
          <w:b/>
        </w:rPr>
        <w:t xml:space="preserve">O ROZVRHNUTÍ ROZPOČTOVÝCH PROSTRIEDKOV POKRAJINSKÉHO SEKRETARIÁTU VZDELÁVANIA, PREDPISOV, SPRÁVY A NÁRODNOSTNÝCH MENŠÍN – NÁRODNOSTNÝCH SPOLOČENSTIEV NA FINANCOVANIE A SPOLUFINANCOVANIE REKONŠTRUKCIE, ADAPTÁCIE, SANÁCIE A INVESTIČNEJ A BEŽNEJ ÚDRŽBY OBJEKTOV USTANOVIZNÍ ZÁKLADNÉHO  VZDELÁVANIA A VÝCHOVY NA ÚZEMÍ </w:t>
      </w:r>
      <w:r w:rsidR="00CB3454">
        <w:rPr>
          <w:rFonts w:asciiTheme="minorHAnsi" w:hAnsiTheme="minorHAnsi" w:cstheme="minorHAnsi"/>
          <w:b/>
        </w:rPr>
        <w:t xml:space="preserve">                     </w:t>
      </w:r>
      <w:r w:rsidRPr="00CB3454">
        <w:rPr>
          <w:rFonts w:asciiTheme="minorHAnsi" w:hAnsiTheme="minorHAnsi" w:cstheme="minorHAnsi"/>
          <w:b/>
        </w:rPr>
        <w:t xml:space="preserve">AUTONÓMNEJ POKRAJINY VOJVODINY NA ROK 2025   </w:t>
      </w:r>
    </w:p>
    <w:p w:rsidR="00A01009" w:rsidRPr="00CB3454" w:rsidRDefault="00A01009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A01009" w:rsidRPr="00CB3454" w:rsidRDefault="00187BE5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CB3454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ustanovizniam základného vzdelávania a výchovy</w:t>
      </w:r>
      <w:r w:rsidRPr="00CB3454">
        <w:rPr>
          <w:rFonts w:asciiTheme="minorHAnsi" w:hAnsiTheme="minorHAnsi" w:cstheme="minorHAnsi"/>
          <w:sz w:val="22"/>
          <w:szCs w:val="22"/>
        </w:rPr>
        <w:t xml:space="preserve"> podľa </w:t>
      </w:r>
      <w:r w:rsidRPr="00CB3454">
        <w:rPr>
          <w:rFonts w:asciiTheme="minorHAnsi" w:hAnsiTheme="minorHAnsi" w:cstheme="minorHAnsi"/>
          <w:i/>
          <w:iCs/>
          <w:sz w:val="22"/>
          <w:szCs w:val="22"/>
        </w:rPr>
        <w:t>Súbehu na financovanie a spolufinancovanie rekonštrukcie, adaptácie, sanácie, investičnej a bežnej údržby objektov ustanovizní základného, stredného vzdelávania a výchovy, žiackeho štandardu a predškolských ustanovizní</w:t>
      </w:r>
      <w:r w:rsidRPr="00CB3454">
        <w:rPr>
          <w:rFonts w:asciiTheme="minorHAnsi" w:hAnsiTheme="minorHAnsi" w:cstheme="minorHAnsi"/>
          <w:sz w:val="22"/>
          <w:szCs w:val="22"/>
        </w:rPr>
        <w:t xml:space="preserve"> </w:t>
      </w:r>
      <w:r w:rsidRPr="00CB3454">
        <w:rPr>
          <w:rFonts w:asciiTheme="minorHAnsi" w:hAnsiTheme="minorHAnsi" w:cstheme="minorHAnsi"/>
          <w:i/>
          <w:sz w:val="22"/>
          <w:szCs w:val="22"/>
        </w:rPr>
        <w:t xml:space="preserve">na území Autonómnej pokrajiny Vojvodiny na rok 2025, číslo </w:t>
      </w:r>
      <w:r w:rsidRPr="00CB3454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00022</w:t>
      </w:r>
      <w:r w:rsidR="00CB3454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7353 2025 09427 004 001 000 001</w:t>
      </w:r>
      <w:r w:rsidRPr="00CB3454">
        <w:rPr>
          <w:rFonts w:asciiTheme="minorHAnsi" w:hAnsiTheme="minorHAnsi" w:cstheme="minorHAnsi"/>
          <w:i/>
          <w:sz w:val="22"/>
          <w:szCs w:val="22"/>
        </w:rPr>
        <w:t xml:space="preserve"> z 5. 2. 2025 (ďalej: </w:t>
      </w:r>
      <w:r w:rsidRPr="00CB3454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CB3454">
        <w:rPr>
          <w:rFonts w:asciiTheme="minorHAnsi" w:hAnsiTheme="minorHAnsi" w:cstheme="minorHAnsi"/>
          <w:sz w:val="22"/>
          <w:szCs w:val="22"/>
        </w:rPr>
        <w:t>.</w:t>
      </w:r>
    </w:p>
    <w:p w:rsidR="00A01009" w:rsidRPr="00CB3454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01009" w:rsidRPr="00CB3454" w:rsidRDefault="00187BE5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CB3454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375 000 000,00</w:t>
      </w:r>
      <w:r w:rsidRPr="00CB3454">
        <w:rPr>
          <w:rFonts w:asciiTheme="minorHAnsi" w:hAnsiTheme="minorHAnsi" w:cstheme="minorHAnsi"/>
          <w:sz w:val="22"/>
          <w:szCs w:val="22"/>
        </w:rPr>
        <w:t xml:space="preserve">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CB3454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247 000 000,00</w:t>
      </w:r>
      <w:r w:rsidRPr="00CB3454">
        <w:rPr>
          <w:rFonts w:asciiTheme="minorHAnsi" w:hAnsiTheme="minorHAnsi" w:cstheme="minorHAnsi"/>
          <w:sz w:val="22"/>
          <w:szCs w:val="22"/>
        </w:rPr>
        <w:t xml:space="preserve">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CB3454">
        <w:rPr>
          <w:rFonts w:asciiTheme="minorHAnsi" w:hAnsiTheme="minorHAnsi" w:cstheme="minorHAnsi"/>
          <w:sz w:val="22"/>
          <w:szCs w:val="22"/>
        </w:rPr>
        <w:t xml:space="preserve"> pre stupeň základného vzdelávania a výchovy. </w:t>
      </w:r>
    </w:p>
    <w:p w:rsidR="00A01009" w:rsidRPr="00CB3454" w:rsidRDefault="00187BE5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CB3454">
        <w:rPr>
          <w:rFonts w:asciiTheme="minorHAnsi" w:hAnsiTheme="minorHAnsi" w:cstheme="minorHAnsi"/>
          <w:sz w:val="22"/>
          <w:szCs w:val="22"/>
        </w:rPr>
        <w:t>Týmto rozhodnutím sa rozdeľujú finančné prostriedky pre ustanovizne základného vzdelávania a výchovy na území Autonómnej pokrajiny Vojvodiny v celkovej výške 247 000 000,00 dinárov.</w:t>
      </w:r>
    </w:p>
    <w:p w:rsidR="00A01009" w:rsidRPr="00CB3454" w:rsidRDefault="00187BE5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CB3454">
        <w:rPr>
          <w:rFonts w:asciiTheme="minorHAnsi" w:hAnsiTheme="minorHAnsi" w:cstheme="minorHAnsi"/>
          <w:sz w:val="22"/>
          <w:szCs w:val="22"/>
        </w:rPr>
        <w:t>Prostriedky sa schvaľujú ustanovizniam základného vzdelávania a výchovy (ďalej: užívatelia) v súlade s predloženou tabuľkou 1. ROZVRHNUTIE PROSTRIEDKOV NA FINANCOVANIE A SPOLUFINANCOVANIE REKONŠTRUKCIE, ADAPTÁCIE, SANÁCIE, INVESTIČNEJ A BEŽNEJ ÚDRŽBY OBJEKTOV USTANOVIZNÍ ZÁKLADNÉHO VZDELÁVANIA A VÝCHOVY NA ÚZEMÍ AUTONÓMNEJ POKRAJINY VOJVODINY NA ROK 2025, ktorá je súčasťou tohto rozhodnutia.</w:t>
      </w:r>
    </w:p>
    <w:p w:rsidR="00A01009" w:rsidRPr="00CB3454" w:rsidRDefault="00A01009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01009" w:rsidRPr="00CB3454" w:rsidRDefault="00CB34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 </w:t>
      </w:r>
      <w:r w:rsidR="00187BE5"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A01009" w:rsidRPr="00CB3454" w:rsidRDefault="00187BE5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Pokrajinským parlamentným uznesením o rozpočte Autonómnej pokrajiny Vojvodiny na rok 2025, v osobitnom oddiele Pokrajinského sekretariátu vzdelávania, predpisov, správy a národnostných menšín – národnostných spoločenstiev (ďalej: sekretariát), a to: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123 604 000,00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na Program 2003 – Základné vzdelávanie, Programová aktivita 1006 – Modernizácia infraštruktúry základných škôl, funkčná klasifikácia 910, ekonomická klasifikácia 4631 –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Bežné transfery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iným úrovniam moci, zdroj financovania 01 00 – Všeobecné príjmy a rozpočtové príjmy a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123 396 000,00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na Program 2003 – Základné vzdelávanie, Programová aktivita 1006 – Modernizácia infraštruktúry základných škôl, funkčná klasifikácia 910, ekonomická klasifikácia 4632 – </w:t>
      </w:r>
      <w:r w:rsidRPr="00CB3454">
        <w:rPr>
          <w:rFonts w:asciiTheme="minorHAnsi" w:hAnsiTheme="minorHAnsi" w:cstheme="minorHAnsi"/>
          <w:b/>
          <w:bCs/>
          <w:sz w:val="22"/>
          <w:szCs w:val="22"/>
        </w:rPr>
        <w:t>Kapitálové transfery</w:t>
      </w:r>
      <w:r w:rsidRPr="00CB3454">
        <w:rPr>
          <w:rFonts w:asciiTheme="minorHAnsi" w:hAnsiTheme="minorHAnsi" w:cstheme="minorHAnsi"/>
          <w:bCs/>
          <w:sz w:val="22"/>
          <w:szCs w:val="22"/>
        </w:rPr>
        <w:t xml:space="preserve"> iným úrovniam moci, zdroj financovania 01 00 – Všeobecné príjmy a rozpočtové príjmy, a prevedú sa užívateľom v súlade s prílevom finančných prostriedkov do rozpočtu AP Vojvodiny, resp. s likvidnými možnosťami rozpočtu.</w:t>
      </w:r>
    </w:p>
    <w:p w:rsidR="00A01009" w:rsidRPr="00CB3454" w:rsidRDefault="00A0100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A01009" w:rsidRPr="00CB3454" w:rsidRDefault="00187BE5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A01009" w:rsidRPr="00CB3454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A01009" w:rsidRPr="00CB3454" w:rsidRDefault="00187BE5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A01009" w:rsidRPr="00CB3454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A01009" w:rsidRPr="00CB3454" w:rsidRDefault="00187BE5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A01009" w:rsidRPr="00CB3454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A01009" w:rsidRPr="00CB3454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A01009" w:rsidRPr="00CB3454" w:rsidRDefault="00A01009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A01009" w:rsidRPr="00CB3454" w:rsidRDefault="00187BE5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A01009" w:rsidRDefault="00A01009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CB3454" w:rsidRPr="00CB3454" w:rsidRDefault="00CB345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 w:rsidP="00CB3454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A01009" w:rsidRPr="00CB3454" w:rsidRDefault="00187BE5" w:rsidP="00CB3454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hmotno-finančné úkony sekretariátu</w:t>
      </w:r>
    </w:p>
    <w:p w:rsidR="00A01009" w:rsidRPr="00CB3454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01009" w:rsidRPr="00CB3454" w:rsidRDefault="00187BE5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CB345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A01009" w:rsidRPr="00CB3454">
        <w:trPr>
          <w:jc w:val="center"/>
        </w:trPr>
        <w:tc>
          <w:tcPr>
            <w:tcW w:w="4950" w:type="dxa"/>
          </w:tcPr>
          <w:p w:rsidR="00A01009" w:rsidRPr="00CB3454" w:rsidRDefault="00187BE5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CB3454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POKRAJINSKÝ TAJOMNÍK</w:t>
            </w:r>
          </w:p>
        </w:tc>
      </w:tr>
      <w:tr w:rsidR="00A01009" w:rsidRPr="00CB3454">
        <w:trPr>
          <w:jc w:val="center"/>
        </w:trPr>
        <w:tc>
          <w:tcPr>
            <w:tcW w:w="4950" w:type="dxa"/>
          </w:tcPr>
          <w:p w:rsidR="00A01009" w:rsidRPr="00CB3454" w:rsidRDefault="00187BE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CB3454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Róbert Ótott</w:t>
            </w:r>
          </w:p>
          <w:p w:rsidR="00A01009" w:rsidRPr="00CB3454" w:rsidRDefault="00187BE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CB3454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</w:t>
            </w:r>
          </w:p>
        </w:tc>
      </w:tr>
    </w:tbl>
    <w:p w:rsidR="00A01009" w:rsidRPr="00CB3454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A01009" w:rsidRPr="00CB3454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EF6" w:rsidRDefault="00D57EF6">
      <w:r>
        <w:separator/>
      </w:r>
    </w:p>
  </w:endnote>
  <w:endnote w:type="continuationSeparator" w:id="0">
    <w:p w:rsidR="00D57EF6" w:rsidRDefault="00D5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EF6" w:rsidRDefault="00D57EF6">
      <w:r>
        <w:separator/>
      </w:r>
    </w:p>
  </w:footnote>
  <w:footnote w:type="continuationSeparator" w:id="0">
    <w:p w:rsidR="00D57EF6" w:rsidRDefault="00D5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009" w:rsidRDefault="00A01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A01009" w:rsidRDefault="00A01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0543"/>
    <w:rsid w:val="001477F2"/>
    <w:rsid w:val="00156793"/>
    <w:rsid w:val="00156E93"/>
    <w:rsid w:val="001647F0"/>
    <w:rsid w:val="00165069"/>
    <w:rsid w:val="001871F9"/>
    <w:rsid w:val="00187BE5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100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B3454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57EF6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5703D"/>
    <w:rsid w:val="00E67648"/>
    <w:rsid w:val="00E7534A"/>
    <w:rsid w:val="00E80D04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625800"/>
  <w15:docId w15:val="{7D42E2EC-B8FB-41EB-9403-AEFE965B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Jan Nvota</cp:lastModifiedBy>
  <cp:revision>4</cp:revision>
  <cp:lastPrinted>2025-05-08T07:01:00Z</cp:lastPrinted>
  <dcterms:created xsi:type="dcterms:W3CDTF">2025-07-18T09:45:00Z</dcterms:created>
  <dcterms:modified xsi:type="dcterms:W3CDTF">2025-07-24T11:13:00Z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