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948" w:type="dxa"/>
        <w:tblInd w:w="750" w:type="dxa"/>
        <w:tblLayout w:type="fixed"/>
        <w:tblCellMar>
          <w:left w:w="0" w:type="dxa"/>
          <w:right w:w="0" w:type="dxa"/>
        </w:tblCellMar>
        <w:tblLook w:val="01E0" w:firstRow="1" w:lastRow="1" w:firstColumn="1" w:lastColumn="1" w:noHBand="0" w:noVBand="0"/>
      </w:tblPr>
      <w:tblGrid>
        <w:gridCol w:w="9510"/>
        <w:gridCol w:w="4438"/>
      </w:tblGrid>
      <w:tr w:rsidR="000E4133" w:rsidTr="00497BAF">
        <w:trPr>
          <w:trHeight w:val="2314"/>
        </w:trPr>
        <w:tc>
          <w:tcPr>
            <w:tcW w:w="9510" w:type="dxa"/>
          </w:tcPr>
          <w:p w:rsidR="000E4133" w:rsidRDefault="000E4133" w:rsidP="000E4133">
            <w:pPr>
              <w:pStyle w:val="TableParagraph"/>
              <w:spacing w:before="9"/>
              <w:rPr>
                <w:rFonts w:ascii="Times New Roman"/>
                <w:sz w:val="20"/>
              </w:rPr>
            </w:pPr>
          </w:p>
          <w:p w:rsidR="000E4133" w:rsidRDefault="000E4133" w:rsidP="000E4133">
            <w:pPr>
              <w:pStyle w:val="TableParagraph"/>
              <w:ind w:left="2702"/>
              <w:rPr>
                <w:sz w:val="20"/>
              </w:rPr>
            </w:pPr>
            <w:r>
              <w:rPr>
                <w:sz w:val="20"/>
              </w:rPr>
              <w:t>Republica Serbia</w:t>
            </w:r>
          </w:p>
          <w:p w:rsidR="000E4133" w:rsidRDefault="000E4133" w:rsidP="000E4133">
            <w:pPr>
              <w:pStyle w:val="TableParagraph"/>
              <w:spacing w:before="1"/>
              <w:ind w:left="2702" w:right="-58"/>
              <w:jc w:val="both"/>
              <w:rPr>
                <w:sz w:val="20"/>
              </w:rPr>
            </w:pPr>
            <w:r>
              <w:rPr>
                <w:sz w:val="20"/>
              </w:rPr>
              <w:t>Provincia Autonomă Voivodina</w:t>
            </w:r>
          </w:p>
          <w:p w:rsidR="000E4133" w:rsidRDefault="000E4133" w:rsidP="000E4133">
            <w:pPr>
              <w:pStyle w:val="TableParagraph"/>
              <w:spacing w:before="1"/>
              <w:ind w:left="2702" w:right="-58"/>
              <w:jc w:val="both"/>
              <w:rPr>
                <w:b/>
                <w:sz w:val="20"/>
              </w:rPr>
            </w:pPr>
            <w:r>
              <w:rPr>
                <w:b/>
                <w:sz w:val="20"/>
              </w:rPr>
              <w:t>Secretariatul Provincial pentru Educație, Reglementări, Administrație</w:t>
            </w:r>
          </w:p>
          <w:p w:rsidR="000E4133" w:rsidRDefault="000E4133" w:rsidP="000E4133">
            <w:pPr>
              <w:pStyle w:val="TableParagraph"/>
              <w:spacing w:before="1"/>
              <w:ind w:left="2702" w:right="-58"/>
              <w:jc w:val="both"/>
              <w:rPr>
                <w:b/>
                <w:sz w:val="20"/>
              </w:rPr>
            </w:pPr>
            <w:r>
              <w:rPr>
                <w:b/>
                <w:sz w:val="20"/>
              </w:rPr>
              <w:t xml:space="preserve"> și Minoritățile naționale – Comunitățile Naționale</w:t>
            </w:r>
          </w:p>
          <w:p w:rsidR="000E4133" w:rsidRDefault="000E4133" w:rsidP="000E4133">
            <w:pPr>
              <w:pStyle w:val="TableParagraph"/>
              <w:spacing w:before="3"/>
              <w:rPr>
                <w:rFonts w:ascii="Times New Roman"/>
                <w:sz w:val="21"/>
              </w:rPr>
            </w:pPr>
          </w:p>
          <w:p w:rsidR="000E4133" w:rsidRDefault="000E4133" w:rsidP="000E4133">
            <w:pPr>
              <w:pStyle w:val="TableParagraph"/>
              <w:ind w:left="2702" w:right="-29"/>
              <w:jc w:val="both"/>
              <w:rPr>
                <w:sz w:val="20"/>
              </w:rPr>
            </w:pPr>
            <w:r>
              <w:rPr>
                <w:sz w:val="20"/>
              </w:rPr>
              <w:t>Bulevar Mihajla Pupina 16 21000 Novi Sad</w:t>
            </w:r>
          </w:p>
          <w:p w:rsidR="000E4133" w:rsidRDefault="000E4133" w:rsidP="000E4133">
            <w:pPr>
              <w:pStyle w:val="TableParagraph"/>
              <w:ind w:left="2702" w:right="-29"/>
              <w:jc w:val="both"/>
              <w:rPr>
                <w:sz w:val="20"/>
              </w:rPr>
            </w:pPr>
            <w:r>
              <w:rPr>
                <w:sz w:val="20"/>
              </w:rPr>
              <w:t xml:space="preserve"> Т: +381 21  487</w:t>
            </w:r>
            <w:r>
              <w:rPr>
                <w:spacing w:val="39"/>
                <w:sz w:val="20"/>
              </w:rPr>
              <w:t xml:space="preserve"> </w:t>
            </w:r>
            <w:r>
              <w:rPr>
                <w:sz w:val="20"/>
              </w:rPr>
              <w:t>4608 F:381 21 456 217</w:t>
            </w:r>
          </w:p>
          <w:p w:rsidR="000E4133" w:rsidRDefault="00497BAF" w:rsidP="000E4133">
            <w:pPr>
              <w:pStyle w:val="TableParagraph"/>
              <w:spacing w:before="1"/>
              <w:ind w:left="2702"/>
              <w:jc w:val="both"/>
              <w:rPr>
                <w:sz w:val="20"/>
              </w:rPr>
            </w:pPr>
            <w:hyperlink r:id="rId4">
              <w:r w:rsidR="000E4133">
                <w:rPr>
                  <w:sz w:val="20"/>
                  <w:u w:val="single"/>
                </w:rPr>
                <w:t>ounz@vojvodina.gov</w:t>
              </w:r>
            </w:hyperlink>
          </w:p>
        </w:tc>
        <w:tc>
          <w:tcPr>
            <w:tcW w:w="4438" w:type="dxa"/>
          </w:tcPr>
          <w:p w:rsidR="000E4133" w:rsidRDefault="000E4133" w:rsidP="000E4133">
            <w:pPr>
              <w:pStyle w:val="TableParagraph"/>
              <w:ind w:left="-16"/>
              <w:rPr>
                <w:sz w:val="20"/>
              </w:rPr>
            </w:pPr>
            <w:bookmarkStart w:id="0" w:name="_GoBack"/>
            <w:bookmarkEnd w:id="0"/>
          </w:p>
        </w:tc>
      </w:tr>
      <w:tr w:rsidR="000E4133" w:rsidTr="00497BAF">
        <w:trPr>
          <w:trHeight w:val="298"/>
        </w:trPr>
        <w:tc>
          <w:tcPr>
            <w:tcW w:w="9510" w:type="dxa"/>
          </w:tcPr>
          <w:tbl>
            <w:tblPr>
              <w:tblW w:w="0" w:type="auto"/>
              <w:tblInd w:w="750" w:type="dxa"/>
              <w:tblLayout w:type="fixed"/>
              <w:tblCellMar>
                <w:left w:w="0" w:type="dxa"/>
                <w:right w:w="0" w:type="dxa"/>
              </w:tblCellMar>
              <w:tblLook w:val="01E0" w:firstRow="1" w:lastRow="1" w:firstColumn="1" w:lastColumn="1" w:noHBand="0" w:noVBand="0"/>
            </w:tblPr>
            <w:tblGrid>
              <w:gridCol w:w="4421"/>
              <w:gridCol w:w="4438"/>
            </w:tblGrid>
            <w:tr w:rsidR="000E4133" w:rsidTr="00A30D4C">
              <w:trPr>
                <w:trHeight w:val="298"/>
              </w:trPr>
              <w:tc>
                <w:tcPr>
                  <w:tcW w:w="4421" w:type="dxa"/>
                </w:tcPr>
                <w:p w:rsidR="000E4133" w:rsidRDefault="000E4133" w:rsidP="000E4133">
                  <w:pPr>
                    <w:pStyle w:val="TableParagraph"/>
                    <w:spacing w:before="77" w:line="201" w:lineRule="exact"/>
                    <w:ind w:left="2702"/>
                    <w:rPr>
                      <w:sz w:val="18"/>
                    </w:rPr>
                  </w:pPr>
                  <w:r>
                    <w:rPr>
                      <w:sz w:val="18"/>
                    </w:rPr>
                    <w:t>NUMĂRUL: 001736310 2025</w:t>
                  </w:r>
                </w:p>
              </w:tc>
              <w:tc>
                <w:tcPr>
                  <w:tcW w:w="4438" w:type="dxa"/>
                </w:tcPr>
                <w:p w:rsidR="000E4133" w:rsidRDefault="000E4133" w:rsidP="000E4133">
                  <w:pPr>
                    <w:pStyle w:val="TableParagraph"/>
                    <w:tabs>
                      <w:tab w:val="left" w:pos="2140"/>
                    </w:tabs>
                    <w:spacing w:before="77" w:line="201" w:lineRule="exact"/>
                    <w:ind w:left="4"/>
                    <w:rPr>
                      <w:sz w:val="18"/>
                    </w:rPr>
                  </w:pPr>
                  <w:r>
                    <w:rPr>
                      <w:sz w:val="18"/>
                    </w:rPr>
                    <w:t>09427 005 001 000 001</w:t>
                  </w:r>
                  <w:r>
                    <w:rPr>
                      <w:sz w:val="18"/>
                    </w:rPr>
                    <w:tab/>
                    <w:t>DATA: 08.05.2025</w:t>
                  </w:r>
                </w:p>
              </w:tc>
            </w:tr>
          </w:tbl>
          <w:p w:rsidR="000E4133" w:rsidRDefault="000E4133" w:rsidP="000E4133">
            <w:pPr>
              <w:pStyle w:val="BodyText"/>
              <w:spacing w:before="9"/>
              <w:rPr>
                <w:rFonts w:ascii="Times New Roman"/>
                <w:sz w:val="13"/>
              </w:rPr>
            </w:pPr>
          </w:p>
          <w:p w:rsidR="000E4133" w:rsidRDefault="000E4133" w:rsidP="000E4133">
            <w:pPr>
              <w:pStyle w:val="TableParagraph"/>
              <w:spacing w:before="77" w:line="201" w:lineRule="exact"/>
              <w:ind w:left="2702"/>
              <w:rPr>
                <w:sz w:val="18"/>
              </w:rPr>
            </w:pPr>
          </w:p>
        </w:tc>
        <w:tc>
          <w:tcPr>
            <w:tcW w:w="4438" w:type="dxa"/>
          </w:tcPr>
          <w:p w:rsidR="000E4133" w:rsidRDefault="000E4133" w:rsidP="000E4133">
            <w:pPr>
              <w:pStyle w:val="TableParagraph"/>
              <w:tabs>
                <w:tab w:val="left" w:pos="2140"/>
              </w:tabs>
              <w:spacing w:before="77" w:line="201" w:lineRule="exact"/>
              <w:ind w:left="4"/>
              <w:rPr>
                <w:sz w:val="18"/>
              </w:rPr>
            </w:pPr>
          </w:p>
        </w:tc>
      </w:tr>
    </w:tbl>
    <w:p w:rsidR="00540867" w:rsidRDefault="00540867">
      <w:pPr>
        <w:pStyle w:val="BodyText"/>
        <w:spacing w:before="9"/>
        <w:rPr>
          <w:rFonts w:ascii="Times New Roman"/>
          <w:sz w:val="13"/>
        </w:rPr>
      </w:pPr>
    </w:p>
    <w:p w:rsidR="00540867" w:rsidRDefault="000E4133">
      <w:pPr>
        <w:pStyle w:val="BodyText"/>
        <w:spacing w:before="59"/>
        <w:ind w:left="816" w:right="695" w:firstLine="540"/>
        <w:jc w:val="both"/>
      </w:pPr>
      <w:r>
        <w:rPr>
          <w:noProof/>
          <w:lang w:val="en-US" w:eastAsia="en-US"/>
        </w:rPr>
        <w:drawing>
          <wp:anchor distT="0" distB="0" distL="0" distR="0" simplePos="0" relativeHeight="268429223" behindDoc="1" locked="0" layoutInCell="1" allowOverlap="1">
            <wp:simplePos x="0" y="0"/>
            <wp:positionH relativeFrom="page">
              <wp:posOffset>979805</wp:posOffset>
            </wp:positionH>
            <wp:positionV relativeFrom="paragraph">
              <wp:posOffset>-1763629</wp:posOffset>
            </wp:positionV>
            <wp:extent cx="1495908" cy="96812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495908" cy="968121"/>
                    </a:xfrm>
                    <a:prstGeom prst="rect">
                      <a:avLst/>
                    </a:prstGeom>
                  </pic:spPr>
                </pic:pic>
              </a:graphicData>
            </a:graphic>
          </wp:anchor>
        </w:drawing>
      </w:r>
      <w:r>
        <w:t>Secretariatul Provincial pentru Educaţie, Reglementări, Administraţie şi Minorităţile Naţionale – Comunităţile Naţionale, în baza articolului 24 alineatul 2 din Hotărârea Adunării Provinciei privind administraţia provincială ("Buletinul oficial al P.A.V.", numerele: 37/2014, 54/2014-altă reglementare, 37/2016 , 29/2017 , 24/2019, 66/2020, 38/2021 и 22/2025) în</w:t>
      </w:r>
    </w:p>
    <w:p w:rsidR="00540867" w:rsidRDefault="000E4133">
      <w:pPr>
        <w:pStyle w:val="BodyText"/>
        <w:spacing w:before="2"/>
        <w:ind w:left="816" w:right="696"/>
        <w:jc w:val="both"/>
      </w:pPr>
      <w:r>
        <w:t>Raport cu articolele 11 şi 23 din Hotărârea Adunării Provinciei privind bugetul Provinciei Autonome Voivodina pentru anul 2025 („Buletinul oficial al P.A.V.”, nr. 57/2024) , şi articolului 11 din Regulamentul privind repartizarea mijloacelor bugetare ale Secretariatului Provincial pentru Educaţie, Reglementări, Administrație și Minoritățile Naționale – Comunitățile Naționale pentru organizarea concursurilor regionale „Cât de bine ne cunoaștem” în anul 2025 („Buletinul oficial al P.A.V.“, nr. 16/2025), în baza Deciziei secretarului provincial pentru educaţie, reglementări, administrație și minoritățile naționale – comunitățile naționale numărul: 001642201 2024 09427 002 001 000 001 04 007 din 10.6.2024, adoptă</w:t>
      </w:r>
    </w:p>
    <w:p w:rsidR="00540867" w:rsidRDefault="00540867">
      <w:pPr>
        <w:pStyle w:val="BodyText"/>
        <w:spacing w:before="11"/>
        <w:rPr>
          <w:sz w:val="19"/>
        </w:rPr>
      </w:pPr>
    </w:p>
    <w:p w:rsidR="00540867" w:rsidRDefault="000E4133">
      <w:pPr>
        <w:pStyle w:val="Heading1"/>
        <w:ind w:left="1053"/>
      </w:pPr>
      <w:r>
        <w:t>DECIZIA</w:t>
      </w:r>
    </w:p>
    <w:p w:rsidR="00540867" w:rsidRDefault="000E4133">
      <w:pPr>
        <w:spacing w:before="1"/>
        <w:ind w:left="1056" w:right="936"/>
        <w:jc w:val="center"/>
        <w:rPr>
          <w:b/>
          <w:sz w:val="20"/>
        </w:rPr>
      </w:pPr>
      <w:r>
        <w:rPr>
          <w:b/>
          <w:sz w:val="20"/>
        </w:rPr>
        <w:t>PRIVIND REPARTIZAREA MIJLOACELOR BUGETARE CONFORM CONCURSULUI PUBLIC PENTRU ORGANIZAREA CONCURSURILOR REGIONALE „CÂT DE BINE NE CUNOAŞTEM” – EDIȚIA A XVII-a</w:t>
      </w:r>
    </w:p>
    <w:p w:rsidR="00540867" w:rsidRDefault="00540867">
      <w:pPr>
        <w:pStyle w:val="BodyText"/>
        <w:rPr>
          <w:b/>
        </w:rPr>
      </w:pPr>
    </w:p>
    <w:p w:rsidR="00540867" w:rsidRDefault="00540867">
      <w:pPr>
        <w:pStyle w:val="BodyText"/>
        <w:rPr>
          <w:b/>
        </w:rPr>
      </w:pPr>
    </w:p>
    <w:p w:rsidR="00540867" w:rsidRDefault="000E4133">
      <w:pPr>
        <w:ind w:left="119"/>
        <w:jc w:val="center"/>
        <w:rPr>
          <w:b/>
          <w:sz w:val="20"/>
        </w:rPr>
      </w:pPr>
      <w:r>
        <w:rPr>
          <w:b/>
          <w:sz w:val="20"/>
        </w:rPr>
        <w:t>I</w:t>
      </w:r>
    </w:p>
    <w:p w:rsidR="00540867" w:rsidRDefault="00540867">
      <w:pPr>
        <w:pStyle w:val="BodyText"/>
        <w:spacing w:before="11"/>
        <w:rPr>
          <w:b/>
          <w:sz w:val="19"/>
        </w:rPr>
      </w:pPr>
    </w:p>
    <w:p w:rsidR="00540867" w:rsidRDefault="000E4133">
      <w:pPr>
        <w:pStyle w:val="BodyText"/>
        <w:spacing w:before="1"/>
        <w:ind w:left="816" w:right="647" w:firstLine="540"/>
        <w:jc w:val="both"/>
      </w:pPr>
      <w:r>
        <w:t>În baza Concursului public pentru organizarea concursurilor regionale „Cât de bine ne cunoaştem” - ediția a XVII-a, publicat pe data de 07.04.2025, sub numărul 001736310 2025 09427 005 001 000 001, care a fost publicat pe site-ul Secretariatului, pe data de 07.04.2025, mijloacele se alocă următorilor semnatari ai cererilor:</w:t>
      </w:r>
    </w:p>
    <w:p w:rsidR="00540867" w:rsidRDefault="00540867">
      <w:pPr>
        <w:pStyle w:val="BodyText"/>
        <w:spacing w:before="11"/>
        <w:rPr>
          <w:sz w:val="19"/>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1"/>
        <w:gridCol w:w="1316"/>
        <w:gridCol w:w="2027"/>
        <w:gridCol w:w="2556"/>
        <w:gridCol w:w="1447"/>
      </w:tblGrid>
      <w:tr w:rsidR="00540867" w:rsidTr="00FC73B7">
        <w:trPr>
          <w:trHeight w:val="822"/>
        </w:trPr>
        <w:tc>
          <w:tcPr>
            <w:tcW w:w="2981" w:type="dxa"/>
            <w:shd w:val="clear" w:color="auto" w:fill="A6A6A6"/>
          </w:tcPr>
          <w:p w:rsidR="00540867" w:rsidRDefault="00540867">
            <w:pPr>
              <w:pStyle w:val="TableParagraph"/>
              <w:spacing w:before="8"/>
              <w:rPr>
                <w:sz w:val="24"/>
              </w:rPr>
            </w:pPr>
          </w:p>
          <w:p w:rsidR="00540867" w:rsidRDefault="000E4133">
            <w:pPr>
              <w:pStyle w:val="TableParagraph"/>
              <w:ind w:left="107"/>
              <w:rPr>
                <w:b/>
                <w:sz w:val="18"/>
              </w:rPr>
            </w:pPr>
            <w:r>
              <w:rPr>
                <w:b/>
                <w:sz w:val="18"/>
              </w:rPr>
              <w:t>Semnatarul cererii</w:t>
            </w:r>
          </w:p>
        </w:tc>
        <w:tc>
          <w:tcPr>
            <w:tcW w:w="1316" w:type="dxa"/>
            <w:shd w:val="clear" w:color="auto" w:fill="A6A6A6"/>
          </w:tcPr>
          <w:p w:rsidR="00540867" w:rsidRDefault="00540867">
            <w:pPr>
              <w:pStyle w:val="TableParagraph"/>
              <w:spacing w:before="8"/>
              <w:rPr>
                <w:sz w:val="24"/>
              </w:rPr>
            </w:pPr>
          </w:p>
          <w:p w:rsidR="00540867" w:rsidRDefault="000E4133">
            <w:pPr>
              <w:pStyle w:val="TableParagraph"/>
              <w:ind w:left="107"/>
              <w:rPr>
                <w:b/>
                <w:sz w:val="18"/>
              </w:rPr>
            </w:pPr>
            <w:r>
              <w:rPr>
                <w:b/>
                <w:sz w:val="18"/>
              </w:rPr>
              <w:t>Localitatea</w:t>
            </w:r>
          </w:p>
        </w:tc>
        <w:tc>
          <w:tcPr>
            <w:tcW w:w="2027" w:type="dxa"/>
            <w:shd w:val="clear" w:color="auto" w:fill="A6A6A6"/>
          </w:tcPr>
          <w:p w:rsidR="00540867" w:rsidRDefault="00540867">
            <w:pPr>
              <w:pStyle w:val="TableParagraph"/>
              <w:spacing w:before="10"/>
              <w:rPr>
                <w:sz w:val="15"/>
              </w:rPr>
            </w:pPr>
          </w:p>
          <w:p w:rsidR="00540867" w:rsidRDefault="000E4133">
            <w:pPr>
              <w:pStyle w:val="TableParagraph"/>
              <w:spacing w:line="219" w:lineRule="exact"/>
              <w:ind w:left="118"/>
              <w:rPr>
                <w:b/>
                <w:sz w:val="18"/>
              </w:rPr>
            </w:pPr>
            <w:r>
              <w:rPr>
                <w:b/>
                <w:sz w:val="18"/>
              </w:rPr>
              <w:t>Propunerea sumei</w:t>
            </w:r>
          </w:p>
          <w:p w:rsidR="00540867" w:rsidRDefault="000E4133">
            <w:pPr>
              <w:pStyle w:val="TableParagraph"/>
              <w:spacing w:line="219" w:lineRule="exact"/>
              <w:ind w:left="571"/>
              <w:rPr>
                <w:b/>
                <w:sz w:val="18"/>
              </w:rPr>
            </w:pPr>
            <w:r>
              <w:rPr>
                <w:b/>
                <w:sz w:val="18"/>
              </w:rPr>
              <w:t>pentru repartizare</w:t>
            </w:r>
          </w:p>
        </w:tc>
        <w:tc>
          <w:tcPr>
            <w:tcW w:w="2556" w:type="dxa"/>
            <w:shd w:val="clear" w:color="auto" w:fill="A6A6A6"/>
          </w:tcPr>
          <w:p w:rsidR="00540867" w:rsidRDefault="00540867">
            <w:pPr>
              <w:pStyle w:val="TableParagraph"/>
              <w:spacing w:before="8"/>
              <w:rPr>
                <w:sz w:val="24"/>
              </w:rPr>
            </w:pPr>
          </w:p>
          <w:p w:rsidR="00540867" w:rsidRDefault="000E4133">
            <w:pPr>
              <w:pStyle w:val="TableParagraph"/>
              <w:ind w:left="111"/>
              <w:rPr>
                <w:b/>
                <w:sz w:val="18"/>
              </w:rPr>
            </w:pPr>
            <w:r>
              <w:rPr>
                <w:b/>
                <w:sz w:val="18"/>
              </w:rPr>
              <w:t>Număr de dosar</w:t>
            </w:r>
          </w:p>
        </w:tc>
        <w:tc>
          <w:tcPr>
            <w:tcW w:w="1447" w:type="dxa"/>
            <w:shd w:val="clear" w:color="auto" w:fill="A6A6A6"/>
          </w:tcPr>
          <w:p w:rsidR="00540867" w:rsidRDefault="00540867">
            <w:pPr>
              <w:pStyle w:val="TableParagraph"/>
              <w:spacing w:before="10"/>
              <w:rPr>
                <w:sz w:val="15"/>
              </w:rPr>
            </w:pPr>
          </w:p>
          <w:p w:rsidR="00540867" w:rsidRDefault="000E4133">
            <w:pPr>
              <w:pStyle w:val="TableParagraph"/>
              <w:ind w:left="251" w:right="212" w:firstLine="115"/>
              <w:rPr>
                <w:b/>
                <w:sz w:val="18"/>
              </w:rPr>
            </w:pPr>
            <w:r>
              <w:rPr>
                <w:b/>
                <w:sz w:val="18"/>
              </w:rPr>
              <w:t>Numărul de puncte</w:t>
            </w:r>
          </w:p>
        </w:tc>
      </w:tr>
      <w:tr w:rsidR="00540867" w:rsidTr="00FC73B7">
        <w:trPr>
          <w:trHeight w:val="520"/>
        </w:trPr>
        <w:tc>
          <w:tcPr>
            <w:tcW w:w="2981" w:type="dxa"/>
          </w:tcPr>
          <w:p w:rsidR="00540867" w:rsidRDefault="000E4133">
            <w:pPr>
              <w:pStyle w:val="TableParagraph"/>
              <w:spacing w:before="39"/>
              <w:ind w:left="107" w:right="379"/>
              <w:rPr>
                <w:sz w:val="18"/>
              </w:rPr>
            </w:pPr>
            <w:r>
              <w:rPr>
                <w:sz w:val="18"/>
              </w:rPr>
              <w:t>Liceul clasic episcopal Paulinum</w:t>
            </w:r>
          </w:p>
        </w:tc>
        <w:tc>
          <w:tcPr>
            <w:tcW w:w="1316" w:type="dxa"/>
          </w:tcPr>
          <w:p w:rsidR="00540867" w:rsidRDefault="000E4133">
            <w:pPr>
              <w:pStyle w:val="TableParagraph"/>
              <w:spacing w:before="150"/>
              <w:ind w:left="107"/>
              <w:rPr>
                <w:sz w:val="18"/>
              </w:rPr>
            </w:pPr>
            <w:r>
              <w:rPr>
                <w:sz w:val="18"/>
              </w:rPr>
              <w:t>Subotica</w:t>
            </w:r>
          </w:p>
        </w:tc>
        <w:tc>
          <w:tcPr>
            <w:tcW w:w="2027" w:type="dxa"/>
          </w:tcPr>
          <w:p w:rsidR="00540867" w:rsidRDefault="000E4133">
            <w:pPr>
              <w:pStyle w:val="TableParagraph"/>
              <w:spacing w:before="150"/>
              <w:ind w:right="92"/>
              <w:jc w:val="right"/>
              <w:rPr>
                <w:sz w:val="18"/>
              </w:rPr>
            </w:pPr>
            <w:r>
              <w:rPr>
                <w:sz w:val="18"/>
              </w:rPr>
              <w:t>89.200,00</w:t>
            </w:r>
          </w:p>
        </w:tc>
        <w:tc>
          <w:tcPr>
            <w:tcW w:w="2556" w:type="dxa"/>
          </w:tcPr>
          <w:p w:rsidR="00540867" w:rsidRDefault="000E4133">
            <w:pPr>
              <w:pStyle w:val="TableParagraph"/>
              <w:spacing w:before="39"/>
              <w:ind w:left="111"/>
              <w:rPr>
                <w:sz w:val="18"/>
              </w:rPr>
            </w:pPr>
            <w:r>
              <w:rPr>
                <w:sz w:val="18"/>
              </w:rPr>
              <w:t>001736310 2025 09427 005</w:t>
            </w:r>
          </w:p>
          <w:p w:rsidR="00540867" w:rsidRDefault="000E4133">
            <w:pPr>
              <w:pStyle w:val="TableParagraph"/>
              <w:spacing w:before="1"/>
              <w:ind w:left="111"/>
              <w:rPr>
                <w:sz w:val="18"/>
              </w:rPr>
            </w:pPr>
            <w:r>
              <w:rPr>
                <w:sz w:val="18"/>
              </w:rPr>
              <w:t>001 000 003</w:t>
            </w:r>
          </w:p>
        </w:tc>
        <w:tc>
          <w:tcPr>
            <w:tcW w:w="1447" w:type="dxa"/>
          </w:tcPr>
          <w:p w:rsidR="00540867" w:rsidRDefault="000E4133">
            <w:pPr>
              <w:pStyle w:val="TableParagraph"/>
              <w:spacing w:before="150"/>
              <w:ind w:left="425" w:right="406"/>
              <w:jc w:val="center"/>
              <w:rPr>
                <w:sz w:val="18"/>
              </w:rPr>
            </w:pPr>
            <w:r>
              <w:rPr>
                <w:sz w:val="18"/>
              </w:rPr>
              <w:t>26</w:t>
            </w:r>
          </w:p>
        </w:tc>
      </w:tr>
      <w:tr w:rsidR="00540867" w:rsidTr="00FC73B7">
        <w:trPr>
          <w:trHeight w:val="551"/>
        </w:trPr>
        <w:tc>
          <w:tcPr>
            <w:tcW w:w="2981" w:type="dxa"/>
          </w:tcPr>
          <w:p w:rsidR="00540867" w:rsidRDefault="000E4133">
            <w:pPr>
              <w:pStyle w:val="TableParagraph"/>
              <w:spacing w:before="56"/>
              <w:ind w:left="107" w:right="204"/>
              <w:rPr>
                <w:sz w:val="18"/>
              </w:rPr>
            </w:pPr>
            <w:r>
              <w:rPr>
                <w:sz w:val="18"/>
              </w:rPr>
              <w:t>Şcoala de Economie şi Comerţ „Vuk Karadžić”</w:t>
            </w:r>
          </w:p>
        </w:tc>
        <w:tc>
          <w:tcPr>
            <w:tcW w:w="1316" w:type="dxa"/>
          </w:tcPr>
          <w:p w:rsidR="00540867" w:rsidRDefault="00540867">
            <w:pPr>
              <w:pStyle w:val="TableParagraph"/>
              <w:spacing w:before="8"/>
              <w:rPr>
                <w:sz w:val="13"/>
              </w:rPr>
            </w:pPr>
          </w:p>
          <w:p w:rsidR="00540867" w:rsidRDefault="000E4133">
            <w:pPr>
              <w:pStyle w:val="TableParagraph"/>
              <w:ind w:left="107"/>
              <w:rPr>
                <w:sz w:val="18"/>
              </w:rPr>
            </w:pPr>
            <w:r>
              <w:rPr>
                <w:sz w:val="18"/>
              </w:rPr>
              <w:t>Stara Pazova</w:t>
            </w:r>
          </w:p>
        </w:tc>
        <w:tc>
          <w:tcPr>
            <w:tcW w:w="2027" w:type="dxa"/>
          </w:tcPr>
          <w:p w:rsidR="00540867" w:rsidRDefault="00540867">
            <w:pPr>
              <w:pStyle w:val="TableParagraph"/>
              <w:spacing w:before="8"/>
              <w:rPr>
                <w:sz w:val="13"/>
              </w:rPr>
            </w:pPr>
          </w:p>
          <w:p w:rsidR="00540867" w:rsidRDefault="000E4133">
            <w:pPr>
              <w:pStyle w:val="TableParagraph"/>
              <w:ind w:right="93"/>
              <w:jc w:val="right"/>
              <w:rPr>
                <w:sz w:val="18"/>
              </w:rPr>
            </w:pPr>
            <w:r>
              <w:rPr>
                <w:sz w:val="18"/>
              </w:rPr>
              <w:t>100.000,00</w:t>
            </w:r>
          </w:p>
        </w:tc>
        <w:tc>
          <w:tcPr>
            <w:tcW w:w="2556" w:type="dxa"/>
          </w:tcPr>
          <w:p w:rsidR="00540867" w:rsidRDefault="000E4133">
            <w:pPr>
              <w:pStyle w:val="TableParagraph"/>
              <w:spacing w:before="56" w:line="219" w:lineRule="exact"/>
              <w:ind w:left="111"/>
              <w:rPr>
                <w:sz w:val="18"/>
              </w:rPr>
            </w:pPr>
            <w:r>
              <w:rPr>
                <w:sz w:val="18"/>
              </w:rPr>
              <w:t>001736310 2025 09427 005</w:t>
            </w:r>
          </w:p>
          <w:p w:rsidR="00540867" w:rsidRDefault="000E4133">
            <w:pPr>
              <w:pStyle w:val="TableParagraph"/>
              <w:spacing w:line="219" w:lineRule="exact"/>
              <w:ind w:left="111"/>
              <w:rPr>
                <w:sz w:val="18"/>
              </w:rPr>
            </w:pPr>
            <w:r>
              <w:rPr>
                <w:sz w:val="18"/>
              </w:rPr>
              <w:t>001 000 004</w:t>
            </w:r>
          </w:p>
        </w:tc>
        <w:tc>
          <w:tcPr>
            <w:tcW w:w="1447" w:type="dxa"/>
          </w:tcPr>
          <w:p w:rsidR="00540867" w:rsidRDefault="00540867">
            <w:pPr>
              <w:pStyle w:val="TableParagraph"/>
              <w:spacing w:before="8"/>
              <w:rPr>
                <w:sz w:val="13"/>
              </w:rPr>
            </w:pPr>
          </w:p>
          <w:p w:rsidR="00540867" w:rsidRDefault="000E4133">
            <w:pPr>
              <w:pStyle w:val="TableParagraph"/>
              <w:ind w:left="425" w:right="406"/>
              <w:jc w:val="center"/>
              <w:rPr>
                <w:sz w:val="18"/>
              </w:rPr>
            </w:pPr>
            <w:r>
              <w:rPr>
                <w:sz w:val="18"/>
              </w:rPr>
              <w:t>28</w:t>
            </w:r>
          </w:p>
        </w:tc>
      </w:tr>
      <w:tr w:rsidR="00540867" w:rsidTr="00FC73B7">
        <w:trPr>
          <w:trHeight w:val="549"/>
        </w:trPr>
        <w:tc>
          <w:tcPr>
            <w:tcW w:w="2981" w:type="dxa"/>
          </w:tcPr>
          <w:p w:rsidR="00540867" w:rsidRDefault="000E4133">
            <w:pPr>
              <w:pStyle w:val="TableParagraph"/>
              <w:spacing w:before="57"/>
              <w:ind w:left="107" w:right="150"/>
              <w:rPr>
                <w:sz w:val="18"/>
              </w:rPr>
            </w:pPr>
            <w:r>
              <w:rPr>
                <w:sz w:val="18"/>
              </w:rPr>
              <w:t>Centrul Cultural Educativ „Thurzó Lajos</w:t>
            </w:r>
          </w:p>
        </w:tc>
        <w:tc>
          <w:tcPr>
            <w:tcW w:w="1316" w:type="dxa"/>
          </w:tcPr>
          <w:p w:rsidR="00540867" w:rsidRDefault="00540867">
            <w:pPr>
              <w:pStyle w:val="TableParagraph"/>
              <w:spacing w:before="6"/>
              <w:rPr>
                <w:sz w:val="13"/>
              </w:rPr>
            </w:pPr>
          </w:p>
          <w:p w:rsidR="00540867" w:rsidRDefault="000E4133">
            <w:pPr>
              <w:pStyle w:val="TableParagraph"/>
              <w:ind w:left="107"/>
              <w:rPr>
                <w:sz w:val="18"/>
              </w:rPr>
            </w:pPr>
            <w:r>
              <w:rPr>
                <w:sz w:val="18"/>
              </w:rPr>
              <w:t>Senta</w:t>
            </w:r>
          </w:p>
        </w:tc>
        <w:tc>
          <w:tcPr>
            <w:tcW w:w="2027" w:type="dxa"/>
          </w:tcPr>
          <w:p w:rsidR="00540867" w:rsidRDefault="00540867">
            <w:pPr>
              <w:pStyle w:val="TableParagraph"/>
              <w:spacing w:before="6"/>
              <w:rPr>
                <w:sz w:val="13"/>
              </w:rPr>
            </w:pPr>
          </w:p>
          <w:p w:rsidR="00540867" w:rsidRDefault="000E4133">
            <w:pPr>
              <w:pStyle w:val="TableParagraph"/>
              <w:ind w:right="92"/>
              <w:jc w:val="right"/>
              <w:rPr>
                <w:sz w:val="18"/>
              </w:rPr>
            </w:pPr>
            <w:r>
              <w:rPr>
                <w:sz w:val="18"/>
              </w:rPr>
              <w:t>40.000,00</w:t>
            </w:r>
          </w:p>
        </w:tc>
        <w:tc>
          <w:tcPr>
            <w:tcW w:w="2556" w:type="dxa"/>
          </w:tcPr>
          <w:p w:rsidR="00540867" w:rsidRDefault="000E4133">
            <w:pPr>
              <w:pStyle w:val="TableParagraph"/>
              <w:spacing w:before="57" w:line="219" w:lineRule="exact"/>
              <w:ind w:left="111"/>
              <w:rPr>
                <w:sz w:val="18"/>
              </w:rPr>
            </w:pPr>
            <w:r>
              <w:rPr>
                <w:sz w:val="18"/>
              </w:rPr>
              <w:t>001736310 2025 09427 005</w:t>
            </w:r>
          </w:p>
          <w:p w:rsidR="00540867" w:rsidRDefault="000E4133">
            <w:pPr>
              <w:pStyle w:val="TableParagraph"/>
              <w:spacing w:line="219" w:lineRule="exact"/>
              <w:ind w:left="111"/>
              <w:rPr>
                <w:sz w:val="18"/>
              </w:rPr>
            </w:pPr>
            <w:r>
              <w:rPr>
                <w:sz w:val="18"/>
              </w:rPr>
              <w:t>001 000 005</w:t>
            </w:r>
          </w:p>
        </w:tc>
        <w:tc>
          <w:tcPr>
            <w:tcW w:w="1447" w:type="dxa"/>
          </w:tcPr>
          <w:p w:rsidR="00540867" w:rsidRDefault="00540867">
            <w:pPr>
              <w:pStyle w:val="TableParagraph"/>
              <w:spacing w:before="6"/>
              <w:rPr>
                <w:sz w:val="13"/>
              </w:rPr>
            </w:pPr>
          </w:p>
          <w:p w:rsidR="00540867" w:rsidRDefault="000E4133">
            <w:pPr>
              <w:pStyle w:val="TableParagraph"/>
              <w:ind w:left="425" w:right="406"/>
              <w:jc w:val="center"/>
              <w:rPr>
                <w:sz w:val="18"/>
              </w:rPr>
            </w:pPr>
            <w:r>
              <w:rPr>
                <w:sz w:val="18"/>
              </w:rPr>
              <w:t>25</w:t>
            </w:r>
          </w:p>
        </w:tc>
      </w:tr>
      <w:tr w:rsidR="00540867" w:rsidTr="00FC73B7">
        <w:trPr>
          <w:trHeight w:val="551"/>
        </w:trPr>
        <w:tc>
          <w:tcPr>
            <w:tcW w:w="2981" w:type="dxa"/>
          </w:tcPr>
          <w:p w:rsidR="00540867" w:rsidRDefault="00540867">
            <w:pPr>
              <w:pStyle w:val="TableParagraph"/>
              <w:spacing w:before="8"/>
              <w:rPr>
                <w:sz w:val="13"/>
              </w:rPr>
            </w:pPr>
          </w:p>
          <w:p w:rsidR="00540867" w:rsidRDefault="000E4133">
            <w:pPr>
              <w:pStyle w:val="TableParagraph"/>
              <w:ind w:left="107"/>
              <w:rPr>
                <w:sz w:val="18"/>
              </w:rPr>
            </w:pPr>
            <w:r>
              <w:rPr>
                <w:sz w:val="18"/>
              </w:rPr>
              <w:t>Școala Elementară „Servo Mihalj”</w:t>
            </w:r>
          </w:p>
        </w:tc>
        <w:tc>
          <w:tcPr>
            <w:tcW w:w="1316" w:type="dxa"/>
          </w:tcPr>
          <w:p w:rsidR="00540867" w:rsidRDefault="00540867">
            <w:pPr>
              <w:pStyle w:val="TableParagraph"/>
              <w:spacing w:before="8"/>
              <w:rPr>
                <w:sz w:val="13"/>
              </w:rPr>
            </w:pPr>
          </w:p>
          <w:p w:rsidR="00540867" w:rsidRDefault="000E4133">
            <w:pPr>
              <w:pStyle w:val="TableParagraph"/>
              <w:ind w:left="107"/>
              <w:rPr>
                <w:sz w:val="18"/>
              </w:rPr>
            </w:pPr>
            <w:r>
              <w:rPr>
                <w:sz w:val="18"/>
              </w:rPr>
              <w:t>Zrenianin</w:t>
            </w:r>
          </w:p>
        </w:tc>
        <w:tc>
          <w:tcPr>
            <w:tcW w:w="2027" w:type="dxa"/>
          </w:tcPr>
          <w:p w:rsidR="00540867" w:rsidRDefault="00540867">
            <w:pPr>
              <w:pStyle w:val="TableParagraph"/>
              <w:spacing w:before="8"/>
              <w:rPr>
                <w:sz w:val="13"/>
              </w:rPr>
            </w:pPr>
          </w:p>
          <w:p w:rsidR="00540867" w:rsidRDefault="000E4133">
            <w:pPr>
              <w:pStyle w:val="TableParagraph"/>
              <w:ind w:right="92"/>
              <w:jc w:val="right"/>
              <w:rPr>
                <w:sz w:val="18"/>
              </w:rPr>
            </w:pPr>
            <w:r>
              <w:rPr>
                <w:sz w:val="18"/>
              </w:rPr>
              <w:t>52.000,00</w:t>
            </w:r>
          </w:p>
        </w:tc>
        <w:tc>
          <w:tcPr>
            <w:tcW w:w="2556" w:type="dxa"/>
          </w:tcPr>
          <w:p w:rsidR="00540867" w:rsidRDefault="000E4133">
            <w:pPr>
              <w:pStyle w:val="TableParagraph"/>
              <w:spacing w:before="56"/>
              <w:ind w:left="111"/>
              <w:rPr>
                <w:sz w:val="18"/>
              </w:rPr>
            </w:pPr>
            <w:r>
              <w:rPr>
                <w:sz w:val="18"/>
              </w:rPr>
              <w:t>001736310 2025 09427 005</w:t>
            </w:r>
          </w:p>
          <w:p w:rsidR="00540867" w:rsidRDefault="000E4133">
            <w:pPr>
              <w:pStyle w:val="TableParagraph"/>
              <w:spacing w:before="1"/>
              <w:ind w:left="111"/>
              <w:rPr>
                <w:sz w:val="18"/>
              </w:rPr>
            </w:pPr>
            <w:r>
              <w:rPr>
                <w:sz w:val="18"/>
              </w:rPr>
              <w:t>001 000 006</w:t>
            </w:r>
          </w:p>
        </w:tc>
        <w:tc>
          <w:tcPr>
            <w:tcW w:w="1447" w:type="dxa"/>
          </w:tcPr>
          <w:p w:rsidR="00540867" w:rsidRDefault="00540867">
            <w:pPr>
              <w:pStyle w:val="TableParagraph"/>
              <w:spacing w:before="8"/>
              <w:rPr>
                <w:sz w:val="13"/>
              </w:rPr>
            </w:pPr>
          </w:p>
          <w:p w:rsidR="00540867" w:rsidRDefault="000E4133">
            <w:pPr>
              <w:pStyle w:val="TableParagraph"/>
              <w:ind w:left="425" w:right="406"/>
              <w:jc w:val="center"/>
              <w:rPr>
                <w:sz w:val="18"/>
              </w:rPr>
            </w:pPr>
            <w:r>
              <w:rPr>
                <w:sz w:val="18"/>
              </w:rPr>
              <w:t>27</w:t>
            </w:r>
          </w:p>
        </w:tc>
      </w:tr>
    </w:tbl>
    <w:p w:rsidR="00540867" w:rsidRDefault="00540867">
      <w:pPr>
        <w:pStyle w:val="BodyText"/>
        <w:spacing w:before="12"/>
        <w:rPr>
          <w:sz w:val="19"/>
        </w:rPr>
      </w:pPr>
    </w:p>
    <w:p w:rsidR="00540867" w:rsidRDefault="000E4133">
      <w:pPr>
        <w:pStyle w:val="Heading1"/>
        <w:ind w:left="1055"/>
      </w:pPr>
      <w:r>
        <w:t>II</w:t>
      </w:r>
    </w:p>
    <w:p w:rsidR="00540867" w:rsidRDefault="00540867">
      <w:pPr>
        <w:pStyle w:val="BodyText"/>
        <w:spacing w:before="9"/>
        <w:rPr>
          <w:b/>
          <w:sz w:val="14"/>
        </w:rPr>
      </w:pPr>
    </w:p>
    <w:p w:rsidR="00540867" w:rsidRDefault="000E4133">
      <w:pPr>
        <w:pStyle w:val="BodyText"/>
        <w:ind w:left="816" w:right="698" w:firstLine="707"/>
        <w:jc w:val="both"/>
      </w:pPr>
      <w:r>
        <w:t>Prezenta decizie privind alegerea programelor/proiectelor va fi publicată pe pagina oficială de internet a Secretariatului Provincial.</w:t>
      </w:r>
    </w:p>
    <w:p w:rsidR="00540867" w:rsidRDefault="00540867">
      <w:pPr>
        <w:pStyle w:val="BodyText"/>
      </w:pPr>
    </w:p>
    <w:p w:rsidR="00540867" w:rsidRDefault="00540867">
      <w:pPr>
        <w:pStyle w:val="BodyText"/>
        <w:spacing w:before="1"/>
      </w:pPr>
    </w:p>
    <w:p w:rsidR="00540867" w:rsidRDefault="000E4133">
      <w:pPr>
        <w:pStyle w:val="Heading1"/>
        <w:ind w:left="1051"/>
      </w:pPr>
      <w:r>
        <w:t>Expunerea de motive:</w:t>
      </w:r>
    </w:p>
    <w:p w:rsidR="00540867" w:rsidRDefault="00540867">
      <w:pPr>
        <w:pStyle w:val="BodyText"/>
        <w:spacing w:before="1"/>
        <w:rPr>
          <w:b/>
        </w:rPr>
      </w:pPr>
    </w:p>
    <w:p w:rsidR="00540867" w:rsidRDefault="000E4133">
      <w:pPr>
        <w:pStyle w:val="BodyText"/>
        <w:ind w:left="816" w:right="700" w:firstLine="707"/>
        <w:jc w:val="both"/>
      </w:pPr>
      <w:r>
        <w:t>Prin articolulul 23, alineatul 4 din Hotărârea Adunării Provinciei privind bugetul Provinciei Autonome Voivodina pentru anul 2025 și în baza articolelor 7-11 din Regulamentul privind acordarea mijloacelor bugetare Secretariatul Provincial pentru Educaţie, Reglementări, Administraţie şi Minorităţile Naţionale– Comunităţile Naţionale pentru ogranizarea concursurilor</w:t>
      </w:r>
    </w:p>
    <w:p w:rsidR="00540867" w:rsidRDefault="00540867">
      <w:pPr>
        <w:jc w:val="both"/>
        <w:sectPr w:rsidR="00540867">
          <w:type w:val="continuous"/>
          <w:pgSz w:w="11910" w:h="16840"/>
          <w:pgMar w:top="980" w:right="720" w:bottom="280" w:left="600" w:header="720" w:footer="720" w:gutter="0"/>
          <w:cols w:space="720"/>
        </w:sectPr>
      </w:pPr>
    </w:p>
    <w:p w:rsidR="00540867" w:rsidRDefault="000E4133">
      <w:pPr>
        <w:pStyle w:val="BodyText"/>
        <w:spacing w:before="34"/>
        <w:ind w:left="816" w:right="665"/>
      </w:pPr>
      <w:r>
        <w:lastRenderedPageBreak/>
        <w:t xml:space="preserve">regionale „Cât de bine ne cunoaștem” este reglementat modul de procedare cu cererile sosite, precum și modul de repartizare a mijloacelor conform concursului public. </w:t>
      </w:r>
    </w:p>
    <w:p w:rsidR="00540867" w:rsidRDefault="000E4133">
      <w:pPr>
        <w:pStyle w:val="BodyText"/>
        <w:spacing w:before="2"/>
        <w:ind w:left="816" w:right="692" w:firstLine="707"/>
        <w:jc w:val="both"/>
      </w:pPr>
      <w:r>
        <w:t>În conformitate cu reglementările menționate, Secretariatul Provincial pentru Educaţie, Reglementări, Administraţie şi Minorităţile Naţionale - Comunităţile Naţionale pe data de 07.04.2025 a publicat Concurs public pentru organizarea concursurilor regionale „Cât de bine ne cunoaştem” – ediţia a XVII-a, sub numărul 001736310 2025 09427 005 001 000 001.</w:t>
      </w:r>
    </w:p>
    <w:p w:rsidR="00540867" w:rsidRDefault="000E4133">
      <w:pPr>
        <w:pStyle w:val="BodyText"/>
        <w:ind w:left="816" w:right="702" w:firstLine="707"/>
        <w:jc w:val="both"/>
      </w:pPr>
      <w:r>
        <w:t>Comisia de concurs pentru desfășurarea procedurii de acordarea mijloacelor bugetare a fost înființată prin decizia numărul 001736310 2025 09427 005 001 000 001, din 24.04.2025.</w:t>
      </w:r>
    </w:p>
    <w:p w:rsidR="00540867" w:rsidRDefault="000E4133">
      <w:pPr>
        <w:pStyle w:val="BodyText"/>
        <w:ind w:left="816" w:right="703" w:firstLine="707"/>
        <w:jc w:val="both"/>
      </w:pPr>
      <w:r>
        <w:t>În urma expirării termenului pentru prezentarea cererilor, Comisia de Concurs a procedat la examinarea cererilor sosite la concurs.</w:t>
      </w:r>
    </w:p>
    <w:p w:rsidR="00540867" w:rsidRDefault="000E4133">
      <w:pPr>
        <w:pStyle w:val="BodyText"/>
        <w:ind w:left="816" w:right="699" w:firstLine="753"/>
        <w:jc w:val="both"/>
      </w:pPr>
      <w:r>
        <w:t>Comisia de Concurs a constatat că la concurs nu au sosite cererile incomplete sau incorect completate, respectiv în care nu au fost completate câmpurile obligatorii, precum nici cererile fără semnătură și sigiliu, sosite după termenul prevăzut și inadmisibile.</w:t>
      </w:r>
    </w:p>
    <w:p w:rsidR="00540867" w:rsidRDefault="000E4133">
      <w:pPr>
        <w:pStyle w:val="BodyText"/>
        <w:ind w:left="816" w:right="697" w:firstLine="707"/>
        <w:jc w:val="both"/>
      </w:pPr>
      <w:r>
        <w:t>Comisia de Concurs în urma examinării și evaluării cererilor la concursul menționat, a stabilit lista evaluării, punctele și clasamentul cererilor care a fost publicată pe pagina oficială internet a Secretariatului Provincial 29.04.2025.</w:t>
      </w:r>
    </w:p>
    <w:p w:rsidR="00540867" w:rsidRDefault="000E4133">
      <w:pPr>
        <w:pStyle w:val="BodyText"/>
        <w:ind w:left="816" w:right="695" w:firstLine="707"/>
        <w:jc w:val="both"/>
      </w:pPr>
      <w:r>
        <w:t>În urma publicării listei de evaluare, în termenul de depunere a contestației, Secretariatului nu au fost prezentate contestațiile la lista evaluării, puncte și clasament, astfel au fost îndeplinite condițiile pentru adoptarea hotărârii definitive privind repartizarea mijloacelor.</w:t>
      </w:r>
    </w:p>
    <w:p w:rsidR="00540867" w:rsidRDefault="000E4133">
      <w:pPr>
        <w:pStyle w:val="BodyText"/>
        <w:ind w:left="816" w:right="692" w:firstLine="707"/>
        <w:jc w:val="both"/>
      </w:pPr>
      <w:r>
        <w:t xml:space="preserve">După procedura definitivă pentru acordarea mijloacelor, aplicând reglementările menționate mai sus, Secretariatul Provincial a adoptat decizia privind repartizarea mijloacelor bugetare conform Concursului public pentru organizarea concursurilor regionale „Cât de bine ne cunoaştem” – ediţia a XVII-a În prezenta decizie au fost menționați semnatarii cererilor cărora mijloacele le-au fost aprobate, în timp ce nu au existat cererile conform cărora nu au fost acordate mijloace. </w:t>
      </w:r>
    </w:p>
    <w:p w:rsidR="00540867" w:rsidRDefault="000E4133">
      <w:pPr>
        <w:pStyle w:val="BodyText"/>
        <w:ind w:left="1524"/>
      </w:pPr>
      <w:r>
        <w:t>În conformitate cu cele menționate, a fost adoptată decizia precum în dispozitiv.</w:t>
      </w:r>
    </w:p>
    <w:p w:rsidR="00540867" w:rsidRDefault="00540867">
      <w:pPr>
        <w:pStyle w:val="BodyText"/>
        <w:spacing w:before="11"/>
        <w:rPr>
          <w:sz w:val="19"/>
        </w:rPr>
      </w:pPr>
    </w:p>
    <w:p w:rsidR="00540867" w:rsidRDefault="000E4133">
      <w:pPr>
        <w:pStyle w:val="BodyText"/>
        <w:spacing w:before="1"/>
        <w:ind w:left="1524"/>
      </w:pPr>
      <w:r>
        <w:t>Prezenta decizie este definitivă și va fi publicată pe pagina oficială de internet a Secretariatului Provincial.</w:t>
      </w:r>
    </w:p>
    <w:p w:rsidR="00540867" w:rsidRDefault="00540867">
      <w:pPr>
        <w:pStyle w:val="BodyText"/>
      </w:pPr>
    </w:p>
    <w:p w:rsidR="00540867" w:rsidRDefault="00540867">
      <w:pPr>
        <w:pStyle w:val="BodyText"/>
      </w:pPr>
    </w:p>
    <w:p w:rsidR="00540867" w:rsidRDefault="00540867">
      <w:pPr>
        <w:pStyle w:val="BodyText"/>
      </w:pPr>
    </w:p>
    <w:p w:rsidR="00540867" w:rsidRDefault="000E4133">
      <w:pPr>
        <w:pStyle w:val="BodyText"/>
        <w:ind w:left="6159" w:right="936"/>
        <w:jc w:val="center"/>
      </w:pPr>
      <w:r>
        <w:t>C.A. SECRETARULUI PROVINCIAL</w:t>
      </w:r>
    </w:p>
    <w:p w:rsidR="00540867" w:rsidRDefault="000E4133">
      <w:pPr>
        <w:pStyle w:val="BodyText"/>
        <w:spacing w:before="1"/>
        <w:ind w:left="6159" w:right="936"/>
        <w:jc w:val="center"/>
      </w:pPr>
      <w:r>
        <w:t>LOCŢIITOAREA SECRETARULUI  PROVINCIAL</w:t>
      </w:r>
    </w:p>
    <w:p w:rsidR="00540867" w:rsidRDefault="00540867">
      <w:pPr>
        <w:pStyle w:val="BodyText"/>
        <w:spacing w:before="11"/>
        <w:rPr>
          <w:sz w:val="19"/>
        </w:rPr>
      </w:pPr>
    </w:p>
    <w:p w:rsidR="00540867" w:rsidRDefault="000E4133">
      <w:pPr>
        <w:pStyle w:val="BodyText"/>
        <w:ind w:right="2008"/>
        <w:jc w:val="right"/>
      </w:pPr>
      <w:r>
        <w:t>Slađana Bursać</w:t>
      </w:r>
    </w:p>
    <w:p w:rsidR="00540867" w:rsidRDefault="00540867">
      <w:pPr>
        <w:pStyle w:val="BodyText"/>
      </w:pPr>
    </w:p>
    <w:p w:rsidR="00540867" w:rsidRDefault="00497BAF">
      <w:pPr>
        <w:pStyle w:val="BodyText"/>
        <w:spacing w:before="4"/>
        <w:rPr>
          <w:sz w:val="22"/>
        </w:rPr>
      </w:pPr>
      <w:r>
        <w:pict>
          <v:group id="_x0000_s1026" style="position:absolute;margin-left:329.15pt;margin-top:15.6pt;width:224.7pt;height:104.8pt;z-index:-234885209;mso-wrap-distance-left:0;mso-wrap-distance-right:0;mso-position-horizontal-relative:page" coordorigin="6583,312" coordsize="4494,2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6703;top:934;width:1197;height:644">
              <v:imagedata r:id="rId6" o:title=""/>
            </v:shape>
            <v:shapetype id="_x0000_t202" coordsize="21600,21600" o:spt="202" path="m,l,21600r21600,l21600,xe">
              <v:stroke joinstyle="miter"/>
              <v:path gradientshapeok="t" o:connecttype="rect"/>
            </v:shapetype>
            <v:shape id="_x0000_s1027" type="#_x0000_t202" style="position:absolute;left:6585;top:313;width:4490;height:2092" filled="f" strokeweight=".06961mm">
              <v:textbox inset="0,0,0,0">
                <w:txbxContent>
                  <w:p w:rsidR="00540867" w:rsidRDefault="000E4133">
                    <w:pPr>
                      <w:spacing w:before="5"/>
                      <w:ind w:left="1463"/>
                      <w:rPr>
                        <w:sz w:val="6"/>
                      </w:rPr>
                    </w:pPr>
                    <w:r>
                      <w:rPr>
                        <w:sz w:val="6"/>
                      </w:rPr>
                      <w:t>Republica Serbia</w:t>
                    </w:r>
                  </w:p>
                  <w:p w:rsidR="00540867" w:rsidRDefault="000E4133">
                    <w:pPr>
                      <w:spacing w:before="7"/>
                      <w:ind w:left="1463"/>
                      <w:rPr>
                        <w:sz w:val="6"/>
                      </w:rPr>
                    </w:pPr>
                    <w:r>
                      <w:rPr>
                        <w:sz w:val="6"/>
                      </w:rPr>
                      <w:t>Provincia Autonomă Voivodina</w:t>
                    </w:r>
                  </w:p>
                  <w:p w:rsidR="00540867" w:rsidRDefault="000E4133">
                    <w:pPr>
                      <w:spacing w:before="7" w:line="261" w:lineRule="auto"/>
                      <w:ind w:left="1463"/>
                      <w:rPr>
                        <w:sz w:val="6"/>
                      </w:rPr>
                    </w:pPr>
                    <w:r>
                      <w:rPr>
                        <w:sz w:val="6"/>
                      </w:rPr>
                      <w:t>Secretariatul Provincial pentru Educaţie, Reglementări, Administraţie şi Minorităţile Naţionale - Comunităţile Naţionale, Novi Sad</w:t>
                    </w:r>
                  </w:p>
                  <w:p w:rsidR="00540867" w:rsidRDefault="000E4133">
                    <w:pPr>
                      <w:spacing w:before="1"/>
                      <w:ind w:left="1463"/>
                      <w:rPr>
                        <w:sz w:val="6"/>
                      </w:rPr>
                    </w:pPr>
                    <w:r>
                      <w:rPr>
                        <w:sz w:val="6"/>
                      </w:rPr>
                      <w:t>Szerb Köztársaság,</w:t>
                    </w:r>
                  </w:p>
                  <w:p w:rsidR="00540867" w:rsidRDefault="000E4133">
                    <w:pPr>
                      <w:spacing w:before="7"/>
                      <w:ind w:left="1463"/>
                      <w:rPr>
                        <w:sz w:val="6"/>
                      </w:rPr>
                    </w:pPr>
                    <w:r>
                      <w:rPr>
                        <w:sz w:val="6"/>
                      </w:rPr>
                      <w:t>Vajdaság Autonóm Tartomány</w:t>
                    </w:r>
                  </w:p>
                  <w:p w:rsidR="00540867" w:rsidRDefault="000E4133">
                    <w:pPr>
                      <w:spacing w:before="8" w:line="261" w:lineRule="auto"/>
                      <w:ind w:left="1463" w:right="155"/>
                      <w:rPr>
                        <w:sz w:val="6"/>
                      </w:rPr>
                    </w:pPr>
                    <w:r>
                      <w:rPr>
                        <w:sz w:val="6"/>
                      </w:rPr>
                      <w:t>Tartományi Oktatási, Jogalkotási, Közigazgatási és Nemzeti Kisebbségi – Nemzeti Közösségi Titkárság Újvidék</w:t>
                    </w:r>
                  </w:p>
                  <w:p w:rsidR="00540867" w:rsidRDefault="000E4133">
                    <w:pPr>
                      <w:ind w:left="1463"/>
                      <w:rPr>
                        <w:sz w:val="6"/>
                      </w:rPr>
                    </w:pPr>
                    <w:r>
                      <w:rPr>
                        <w:sz w:val="6"/>
                      </w:rPr>
                      <w:t>Srbská republika</w:t>
                    </w:r>
                  </w:p>
                  <w:p w:rsidR="00540867" w:rsidRDefault="000E4133">
                    <w:pPr>
                      <w:spacing w:before="7"/>
                      <w:ind w:left="1463"/>
                      <w:rPr>
                        <w:sz w:val="6"/>
                      </w:rPr>
                    </w:pPr>
                    <w:r>
                      <w:rPr>
                        <w:sz w:val="6"/>
                      </w:rPr>
                      <w:t>Autonómna pokrajina Vojvodina</w:t>
                    </w:r>
                  </w:p>
                  <w:p w:rsidR="00540867" w:rsidRDefault="000E4133">
                    <w:pPr>
                      <w:spacing w:before="7" w:line="264" w:lineRule="auto"/>
                      <w:ind w:left="1463"/>
                      <w:rPr>
                        <w:sz w:val="6"/>
                      </w:rPr>
                    </w:pPr>
                    <w:r>
                      <w:rPr>
                        <w:sz w:val="6"/>
                      </w:rPr>
                      <w:t>Pokrajinský sekretariát vzdelávania, predpisov, správy a národnostných menšín – národnostných spoločenstiev Nový Sad</w:t>
                    </w:r>
                  </w:p>
                  <w:p w:rsidR="00540867" w:rsidRDefault="000E4133">
                    <w:pPr>
                      <w:spacing w:line="73" w:lineRule="exact"/>
                      <w:ind w:left="1463"/>
                      <w:rPr>
                        <w:sz w:val="6"/>
                      </w:rPr>
                    </w:pPr>
                    <w:r>
                      <w:rPr>
                        <w:sz w:val="6"/>
                      </w:rPr>
                      <w:t>Republica Serbia</w:t>
                    </w:r>
                  </w:p>
                  <w:p w:rsidR="00540867" w:rsidRDefault="000E4133">
                    <w:pPr>
                      <w:spacing w:before="7"/>
                      <w:ind w:left="1463"/>
                      <w:rPr>
                        <w:sz w:val="6"/>
                      </w:rPr>
                    </w:pPr>
                    <w:r>
                      <w:rPr>
                        <w:sz w:val="6"/>
                      </w:rPr>
                      <w:t>Provincia Autonomă Voivodina</w:t>
                    </w:r>
                  </w:p>
                  <w:p w:rsidR="00540867" w:rsidRDefault="000E4133">
                    <w:pPr>
                      <w:spacing w:before="8" w:line="261" w:lineRule="auto"/>
                      <w:ind w:left="1463" w:right="301"/>
                      <w:rPr>
                        <w:sz w:val="6"/>
                      </w:rPr>
                    </w:pPr>
                    <w:r>
                      <w:rPr>
                        <w:sz w:val="6"/>
                      </w:rPr>
                      <w:t>Pokrajinsko tajništvo za obrazovanje, propise, upravu i nacionalne manjine – nacionalne zajednice Novi Sad</w:t>
                    </w:r>
                  </w:p>
                  <w:p w:rsidR="00540867" w:rsidRDefault="000E4133">
                    <w:pPr>
                      <w:ind w:left="1463"/>
                      <w:rPr>
                        <w:sz w:val="6"/>
                      </w:rPr>
                    </w:pPr>
                    <w:r>
                      <w:rPr>
                        <w:sz w:val="6"/>
                      </w:rPr>
                      <w:t>Republica Serbia</w:t>
                    </w:r>
                  </w:p>
                  <w:p w:rsidR="00540867" w:rsidRDefault="000E4133">
                    <w:pPr>
                      <w:spacing w:before="7"/>
                      <w:ind w:left="1463"/>
                      <w:rPr>
                        <w:sz w:val="6"/>
                      </w:rPr>
                    </w:pPr>
                    <w:r>
                      <w:rPr>
                        <w:sz w:val="6"/>
                      </w:rPr>
                      <w:t>Provincia Autonomă Voivodina</w:t>
                    </w:r>
                  </w:p>
                  <w:p w:rsidR="00540867" w:rsidRDefault="000E4133">
                    <w:pPr>
                      <w:spacing w:before="7" w:line="264" w:lineRule="auto"/>
                      <w:ind w:left="1463"/>
                      <w:rPr>
                        <w:sz w:val="6"/>
                      </w:rPr>
                    </w:pPr>
                    <w:r>
                      <w:rPr>
                        <w:sz w:val="6"/>
                      </w:rPr>
                      <w:t>Secretariatul  Provincial  pentru  Educaţie,  Reglementări,  Administraţie  şi  Minorităţile  Naţionale-Comunităţile Naţionale</w:t>
                    </w:r>
                  </w:p>
                  <w:p w:rsidR="00540867" w:rsidRDefault="000E4133">
                    <w:pPr>
                      <w:spacing w:line="73" w:lineRule="exact"/>
                      <w:ind w:left="1463"/>
                      <w:rPr>
                        <w:sz w:val="6"/>
                      </w:rPr>
                    </w:pPr>
                    <w:r>
                      <w:rPr>
                        <w:sz w:val="6"/>
                      </w:rPr>
                      <w:t>Novi Sad</w:t>
                    </w:r>
                  </w:p>
                  <w:p w:rsidR="00540867" w:rsidRDefault="000E4133">
                    <w:pPr>
                      <w:spacing w:before="7"/>
                      <w:ind w:left="1463"/>
                      <w:rPr>
                        <w:sz w:val="6"/>
                      </w:rPr>
                    </w:pPr>
                    <w:r>
                      <w:rPr>
                        <w:sz w:val="6"/>
                      </w:rPr>
                      <w:t>Република Сербия</w:t>
                    </w:r>
                  </w:p>
                  <w:p w:rsidR="00540867" w:rsidRDefault="000E4133">
                    <w:pPr>
                      <w:spacing w:before="7"/>
                      <w:ind w:left="1463"/>
                      <w:rPr>
                        <w:sz w:val="6"/>
                      </w:rPr>
                    </w:pPr>
                    <w:r>
                      <w:rPr>
                        <w:sz w:val="6"/>
                      </w:rPr>
                      <w:t>Автономна Покраїна Войводина</w:t>
                    </w:r>
                  </w:p>
                  <w:p w:rsidR="00540867" w:rsidRDefault="000E4133">
                    <w:pPr>
                      <w:spacing w:before="7" w:line="261" w:lineRule="auto"/>
                      <w:ind w:left="1463" w:right="155"/>
                      <w:rPr>
                        <w:sz w:val="6"/>
                      </w:rPr>
                    </w:pPr>
                    <w:r>
                      <w:rPr>
                        <w:sz w:val="6"/>
                      </w:rPr>
                      <w:t>Покраїнски секретарият за образованє, предписаня, управу и национални меншини-национални заєднїци</w:t>
                    </w:r>
                  </w:p>
                  <w:p w:rsidR="00540867" w:rsidRDefault="000E4133">
                    <w:pPr>
                      <w:spacing w:before="1"/>
                      <w:ind w:left="1463"/>
                      <w:rPr>
                        <w:sz w:val="6"/>
                      </w:rPr>
                    </w:pPr>
                    <w:r>
                      <w:rPr>
                        <w:sz w:val="6"/>
                      </w:rPr>
                      <w:t>Novi Sad</w:t>
                    </w:r>
                  </w:p>
                </w:txbxContent>
              </v:textbox>
            </v:shape>
            <w10:wrap type="topAndBottom" anchorx="page"/>
          </v:group>
        </w:pict>
      </w:r>
    </w:p>
    <w:sectPr w:rsidR="00540867">
      <w:pgSz w:w="11910" w:h="16840"/>
      <w:pgMar w:top="940" w:right="7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540867"/>
    <w:rsid w:val="000E4133"/>
    <w:rsid w:val="00497BAF"/>
    <w:rsid w:val="00540867"/>
    <w:rsid w:val="00FC7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E2C31ED1-9AFF-4C67-AFCC-12FB4C2D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Times New Roman"/>
      <w:lang w:eastAsia="mk"/>
    </w:rPr>
  </w:style>
  <w:style w:type="paragraph" w:styleId="Heading1">
    <w:name w:val="heading 1"/>
    <w:basedOn w:val="Normal"/>
    <w:uiPriority w:val="1"/>
    <w:qFormat/>
    <w:pPr>
      <w:ind w:left="119" w:right="936"/>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mailto:ounz@vojvodina.gov.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803</Words>
  <Characters>4581</Characters>
  <Application>Microsoft Office Word</Application>
  <DocSecurity>0</DocSecurity>
  <Lines>38</Lines>
  <Paragraphs>10</Paragraphs>
  <ScaleCrop>false</ScaleCrop>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 Greguric</dc:creator>
  <cp:lastModifiedBy>Vladimir Mitrovic</cp:lastModifiedBy>
  <cp:revision>4</cp:revision>
  <dcterms:created xsi:type="dcterms:W3CDTF">2025-05-08T10:13:00Z</dcterms:created>
  <dcterms:modified xsi:type="dcterms:W3CDTF">2025-05-08T13:02:00Z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2025-05-07T00:00:00Z</vt:filetime>
  </property>
  <property fmtid="{D5CDD505-2E9C-101B-9397-08002B2CF9AE}" pid="3" name="Creator">
    <vt:lpwstr>Microsoft® Word 2016</vt:lpwstr>
  </property>
  <property fmtid="{D5CDD505-2E9C-101B-9397-08002B2CF9AE}" pid="4" name="LastSaved">
    <vt:filetime>2025-05-08T00:00:00Z</vt:filetime>
  </property>
</Properties>
</file>