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286"/>
        <w:gridCol w:w="3369"/>
      </w:tblGrid>
      <w:tr w:rsidR="00BE61DE" w:rsidRPr="00EA4B84" w:rsidTr="001E0F0E">
        <w:trPr>
          <w:trHeight w:val="1975"/>
        </w:trPr>
        <w:tc>
          <w:tcPr>
            <w:tcW w:w="2410" w:type="dxa"/>
          </w:tcPr>
          <w:p w:rsidR="00BE61DE" w:rsidRPr="00EA4B84" w:rsidRDefault="001E0F0E" w:rsidP="006A0F02">
            <w:pPr>
              <w:tabs>
                <w:tab w:val="center" w:pos="4703"/>
                <w:tab w:val="right" w:pos="9406"/>
              </w:tabs>
              <w:ind w:left="-198" w:firstLine="108"/>
              <w:rPr>
                <w:rFonts w:eastAsia="Calibri"/>
                <w:sz w:val="16"/>
                <w:szCs w:val="16"/>
              </w:rPr>
            </w:pPr>
            <w:r>
              <w:rPr>
                <w:noProof/>
                <w:lang w:val="sr-Latn-RS"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Pr="00EA4B84" w:rsidRDefault="001B481F" w:rsidP="006A0F02">
            <w:pPr>
              <w:tabs>
                <w:tab w:val="center" w:pos="4703"/>
                <w:tab w:val="right" w:pos="9406"/>
              </w:tabs>
              <w:rPr>
                <w:rFonts w:asciiTheme="minorHAnsi" w:eastAsia="Calibri" w:hAnsiTheme="minorHAnsi" w:cstheme="minorHAnsi"/>
                <w:sz w:val="20"/>
                <w:szCs w:val="16"/>
              </w:rPr>
            </w:pPr>
          </w:p>
          <w:p w:rsidR="00BE61DE" w:rsidRPr="00EA4B84" w:rsidRDefault="00EA4B84"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rPr>
              <w:t>Republika Srbija</w:t>
            </w:r>
          </w:p>
          <w:p w:rsidR="00BE61DE" w:rsidRPr="00EA4B84" w:rsidRDefault="00EA4B84" w:rsidP="006A0F02">
            <w:pPr>
              <w:rPr>
                <w:rFonts w:asciiTheme="minorHAnsi" w:eastAsia="Calibri" w:hAnsiTheme="minorHAnsi" w:cstheme="minorHAnsi"/>
                <w:sz w:val="20"/>
                <w:szCs w:val="16"/>
              </w:rPr>
            </w:pPr>
            <w:r>
              <w:rPr>
                <w:rFonts w:asciiTheme="minorHAnsi" w:hAnsiTheme="minorHAnsi"/>
                <w:sz w:val="20"/>
              </w:rPr>
              <w:t>Autonomna Pokrajina Vojvodina</w:t>
            </w:r>
          </w:p>
          <w:p w:rsidR="00BE61DE" w:rsidRPr="00EA4B84" w:rsidRDefault="00EA4B84" w:rsidP="006A0F02">
            <w:pPr>
              <w:rPr>
                <w:rFonts w:asciiTheme="minorHAnsi" w:eastAsia="Calibri" w:hAnsiTheme="minorHAnsi" w:cstheme="minorHAnsi"/>
                <w:b/>
                <w:sz w:val="20"/>
                <w:szCs w:val="16"/>
              </w:rPr>
            </w:pPr>
            <w:r>
              <w:rPr>
                <w:rFonts w:asciiTheme="minorHAnsi" w:hAnsiTheme="minorHAnsi"/>
                <w:b/>
                <w:sz w:val="20"/>
              </w:rPr>
              <w:t xml:space="preserve">Pokrajinsko tajništvo za obrazovanje, propise, </w:t>
            </w:r>
            <w:r>
              <w:rPr>
                <w:rFonts w:asciiTheme="minorHAnsi" w:hAnsiTheme="minorHAnsi"/>
                <w:b/>
                <w:sz w:val="20"/>
              </w:rPr>
              <w:br/>
              <w:t>upravu i nacionalne manjine – nacionalne zajednice</w:t>
            </w:r>
          </w:p>
          <w:p w:rsidR="00BE61DE" w:rsidRPr="00EA4B84" w:rsidRDefault="00BE61DE" w:rsidP="006A0F02">
            <w:pPr>
              <w:tabs>
                <w:tab w:val="center" w:pos="4703"/>
                <w:tab w:val="right" w:pos="9406"/>
              </w:tabs>
              <w:rPr>
                <w:rFonts w:asciiTheme="minorHAnsi" w:eastAsia="Calibri" w:hAnsiTheme="minorHAnsi" w:cstheme="minorHAnsi"/>
                <w:sz w:val="20"/>
                <w:szCs w:val="16"/>
              </w:rPr>
            </w:pPr>
          </w:p>
          <w:p w:rsidR="00BE61DE" w:rsidRPr="00EA4B84" w:rsidRDefault="00EA4B84"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rPr>
              <w:t xml:space="preserve">Bulevar Mihajla </w:t>
            </w:r>
            <w:proofErr w:type="spellStart"/>
            <w:r>
              <w:rPr>
                <w:rFonts w:asciiTheme="minorHAnsi" w:hAnsiTheme="minorHAnsi"/>
                <w:sz w:val="20"/>
              </w:rPr>
              <w:t>Pupina</w:t>
            </w:r>
            <w:proofErr w:type="spellEnd"/>
            <w:r>
              <w:rPr>
                <w:rFonts w:asciiTheme="minorHAnsi" w:hAnsiTheme="minorHAnsi"/>
                <w:sz w:val="20"/>
              </w:rPr>
              <w:t xml:space="preserve"> 16, 21000 Novi Sad</w:t>
            </w:r>
          </w:p>
          <w:p w:rsidR="00BE61DE" w:rsidRPr="00EA4B84" w:rsidRDefault="00EA4B84" w:rsidP="006A0F02">
            <w:pPr>
              <w:tabs>
                <w:tab w:val="center" w:pos="4703"/>
                <w:tab w:val="right" w:pos="9406"/>
              </w:tabs>
              <w:rPr>
                <w:rFonts w:asciiTheme="minorHAnsi" w:eastAsia="Calibri" w:hAnsiTheme="minorHAnsi" w:cstheme="minorHAnsi"/>
                <w:sz w:val="20"/>
                <w:szCs w:val="16"/>
              </w:rPr>
            </w:pPr>
            <w:r>
              <w:rPr>
                <w:rFonts w:asciiTheme="minorHAnsi" w:hAnsiTheme="minorHAnsi"/>
                <w:sz w:val="20"/>
              </w:rPr>
              <w:t>T: +381 21  487  4604;</w:t>
            </w:r>
          </w:p>
          <w:p w:rsidR="00BE61DE" w:rsidRPr="00EA4B84" w:rsidRDefault="00B16458" w:rsidP="00791F4B">
            <w:pPr>
              <w:spacing w:after="200"/>
              <w:rPr>
                <w:rFonts w:eastAsia="Calibri"/>
                <w:sz w:val="16"/>
                <w:szCs w:val="16"/>
              </w:rPr>
            </w:pPr>
            <w:hyperlink r:id="rId9" w:history="1">
              <w:r w:rsidR="00C83F0B">
                <w:rPr>
                  <w:rStyle w:val="Hyperlink"/>
                  <w:rFonts w:asciiTheme="minorHAnsi" w:hAnsiTheme="minorHAnsi"/>
                  <w:color w:val="auto"/>
                  <w:sz w:val="20"/>
                </w:rPr>
                <w:t>ounz@vojvodina.gov.rs</w:t>
              </w:r>
            </w:hyperlink>
            <w:r w:rsidR="00C83F0B">
              <w:rPr>
                <w:sz w:val="20"/>
              </w:rPr>
              <w:t xml:space="preserve">  </w:t>
            </w:r>
          </w:p>
        </w:tc>
      </w:tr>
      <w:tr w:rsidR="00BE61DE" w:rsidRPr="00EA4B84" w:rsidTr="00C41D4A">
        <w:trPr>
          <w:trHeight w:val="305"/>
        </w:trPr>
        <w:tc>
          <w:tcPr>
            <w:tcW w:w="2410" w:type="dxa"/>
          </w:tcPr>
          <w:p w:rsidR="00BE61DE" w:rsidRPr="00EA4B84" w:rsidRDefault="00BE61DE" w:rsidP="006A0F02">
            <w:pPr>
              <w:tabs>
                <w:tab w:val="center" w:pos="4703"/>
                <w:tab w:val="right" w:pos="9406"/>
              </w:tabs>
              <w:ind w:left="-198" w:firstLine="108"/>
              <w:rPr>
                <w:rFonts w:eastAsia="Calibri"/>
                <w:sz w:val="16"/>
                <w:szCs w:val="16"/>
              </w:rPr>
            </w:pPr>
          </w:p>
        </w:tc>
        <w:tc>
          <w:tcPr>
            <w:tcW w:w="4286" w:type="dxa"/>
          </w:tcPr>
          <w:p w:rsidR="00BE61DE" w:rsidRPr="00EA4B84" w:rsidRDefault="00EA4B84" w:rsidP="006A0F02">
            <w:pPr>
              <w:tabs>
                <w:tab w:val="center" w:pos="4703"/>
                <w:tab w:val="right" w:pos="9406"/>
              </w:tabs>
              <w:rPr>
                <w:rFonts w:asciiTheme="minorHAnsi" w:eastAsia="Calibri" w:hAnsiTheme="minorHAnsi" w:cstheme="minorHAnsi"/>
                <w:sz w:val="18"/>
                <w:szCs w:val="16"/>
              </w:rPr>
            </w:pPr>
            <w:r>
              <w:rPr>
                <w:rFonts w:asciiTheme="minorHAnsi" w:hAnsiTheme="minorHAnsi"/>
                <w:sz w:val="18"/>
              </w:rPr>
              <w:t>KLASA: 001878778 2025 09427 005 001 000 001 04 007</w:t>
            </w:r>
          </w:p>
          <w:p w:rsidR="001B481F" w:rsidRPr="00EA4B84" w:rsidRDefault="001B481F" w:rsidP="006A0F02">
            <w:pPr>
              <w:tabs>
                <w:tab w:val="center" w:pos="4703"/>
                <w:tab w:val="right" w:pos="9406"/>
              </w:tabs>
              <w:rPr>
                <w:rFonts w:asciiTheme="minorHAnsi" w:eastAsia="Calibri" w:hAnsiTheme="minorHAnsi" w:cstheme="minorHAnsi"/>
                <w:sz w:val="18"/>
                <w:szCs w:val="16"/>
              </w:rPr>
            </w:pPr>
          </w:p>
        </w:tc>
        <w:tc>
          <w:tcPr>
            <w:tcW w:w="3369" w:type="dxa"/>
          </w:tcPr>
          <w:p w:rsidR="00BE61DE" w:rsidRPr="00EA4B84" w:rsidRDefault="00F91064" w:rsidP="00C41D4A">
            <w:pPr>
              <w:tabs>
                <w:tab w:val="center" w:pos="4703"/>
                <w:tab w:val="right" w:pos="9406"/>
              </w:tabs>
              <w:rPr>
                <w:rFonts w:asciiTheme="minorHAnsi" w:eastAsia="Calibri" w:hAnsiTheme="minorHAnsi" w:cstheme="minorHAnsi"/>
                <w:sz w:val="18"/>
                <w:szCs w:val="16"/>
              </w:rPr>
            </w:pPr>
            <w:r>
              <w:rPr>
                <w:rFonts w:asciiTheme="minorHAnsi" w:hAnsiTheme="minorHAnsi"/>
                <w:sz w:val="18"/>
              </w:rPr>
              <w:t xml:space="preserve">DATUM: 2. </w:t>
            </w:r>
            <w:r w:rsidR="00EA4B84">
              <w:rPr>
                <w:rFonts w:asciiTheme="minorHAnsi" w:hAnsiTheme="minorHAnsi"/>
                <w:sz w:val="18"/>
              </w:rPr>
              <w:t>6.</w:t>
            </w:r>
            <w:r>
              <w:rPr>
                <w:rFonts w:asciiTheme="minorHAnsi" w:hAnsiTheme="minorHAnsi"/>
                <w:sz w:val="18"/>
              </w:rPr>
              <w:t xml:space="preserve"> </w:t>
            </w:r>
            <w:r w:rsidR="00EA4B84">
              <w:rPr>
                <w:rFonts w:asciiTheme="minorHAnsi" w:hAnsiTheme="minorHAnsi"/>
                <w:sz w:val="18"/>
              </w:rPr>
              <w:t>2025.godine</w:t>
            </w:r>
          </w:p>
        </w:tc>
      </w:tr>
    </w:tbl>
    <w:p w:rsidR="00BB265B" w:rsidRPr="00EA4B84" w:rsidRDefault="00EA4B84" w:rsidP="007355C1">
      <w:pPr>
        <w:ind w:firstLine="540"/>
        <w:jc w:val="both"/>
        <w:rPr>
          <w:rFonts w:asciiTheme="minorHAnsi" w:hAnsiTheme="minorHAnsi" w:cstheme="minorHAnsi"/>
          <w:bCs/>
          <w:sz w:val="20"/>
          <w:szCs w:val="20"/>
        </w:rPr>
      </w:pPr>
      <w:r>
        <w:rPr>
          <w:rFonts w:asciiTheme="minorHAnsi" w:hAnsiTheme="minorHAnsi"/>
          <w:sz w:val="20"/>
        </w:rPr>
        <w:t>Na temelju članka 11. Pokrajinske skupštinske odluke o dodjeli proračunskih sredstava za unapr</w:t>
      </w:r>
      <w:r w:rsidR="00F91064">
        <w:rPr>
          <w:rFonts w:asciiTheme="minorHAnsi" w:hAnsiTheme="minorHAnsi"/>
          <w:sz w:val="20"/>
        </w:rPr>
        <w:t>j</w:t>
      </w:r>
      <w:r>
        <w:rPr>
          <w:rFonts w:asciiTheme="minorHAnsi" w:hAnsiTheme="minorHAnsi"/>
          <w:sz w:val="20"/>
        </w:rPr>
        <w:t xml:space="preserve">eđenje položaja nacionalnih manjina – nacionalnih zajednica i razvoj multikulturalizma i tolerancije („Sl. list APV“, broj: 8/2019), članaka 15. i 16. stavka 5. u vezi s člankom 24. stavkom 2. i člankom 37. Pokrajinske skupštinske odluke o pokrajinskoj upravi („Službeni list APV“, broj: 37/14 i 54/14 </w:t>
      </w:r>
      <w:r w:rsidR="00F91064">
        <w:rPr>
          <w:rFonts w:asciiTheme="minorHAnsi" w:hAnsiTheme="minorHAnsi"/>
          <w:sz w:val="20"/>
        </w:rPr>
        <w:t>–</w:t>
      </w:r>
      <w:r>
        <w:rPr>
          <w:rFonts w:asciiTheme="minorHAnsi" w:hAnsiTheme="minorHAnsi"/>
          <w:sz w:val="20"/>
        </w:rPr>
        <w:t xml:space="preserve"> dr. odluka i 37/2016, 29/2017, 24/2019, 66/2020, 38/2021 i 22/25) i članka 11. Pravilnika o dodjeli proračunskih sredstava Pokrajinskog tajništva za obrazovanje, propise, upravu i nacionalne manjine – nacionalne zajednice za financiranje ili sufinanciranje </w:t>
      </w:r>
      <w:proofErr w:type="spellStart"/>
      <w:r>
        <w:rPr>
          <w:rFonts w:asciiTheme="minorHAnsi" w:hAnsiTheme="minorHAnsi"/>
          <w:sz w:val="20"/>
        </w:rPr>
        <w:t>potprojekta</w:t>
      </w:r>
      <w:proofErr w:type="spellEnd"/>
      <w:r>
        <w:rPr>
          <w:rFonts w:asciiTheme="minorHAnsi" w:hAnsiTheme="minorHAnsi"/>
          <w:sz w:val="20"/>
        </w:rPr>
        <w:t xml:space="preserve"> „Kamp multikulturalizma“ u 2025. godini („Službeni list APV“, broj: 5/25), kao i Liste vrednovanja i rangiranja prijavljenih programa i projekata na Javnom natječaju za organizaciju edukativno-rekreacijskog kampa učenika srednjih škola „Kamp multikulturalizma 2025“, klasa: 001878778 2025 09427 005 001 000 001 od 21. 5. 2025. godine, pokrajinski tajnik donosi:</w:t>
      </w:r>
    </w:p>
    <w:p w:rsidR="001B481F" w:rsidRPr="00EA4B84" w:rsidRDefault="001B481F" w:rsidP="002B5C59">
      <w:pPr>
        <w:ind w:firstLine="708"/>
        <w:jc w:val="both"/>
        <w:rPr>
          <w:rFonts w:asciiTheme="minorHAnsi" w:hAnsiTheme="minorHAnsi"/>
          <w:sz w:val="20"/>
          <w:szCs w:val="20"/>
        </w:rPr>
      </w:pPr>
    </w:p>
    <w:p w:rsidR="0056396F" w:rsidRPr="00EA4B84" w:rsidRDefault="00EA4B84" w:rsidP="0056396F">
      <w:pPr>
        <w:jc w:val="center"/>
        <w:rPr>
          <w:rFonts w:asciiTheme="minorHAnsi" w:hAnsiTheme="minorHAnsi"/>
          <w:b/>
          <w:sz w:val="22"/>
          <w:szCs w:val="22"/>
        </w:rPr>
      </w:pPr>
      <w:r>
        <w:rPr>
          <w:rFonts w:asciiTheme="minorHAnsi" w:hAnsiTheme="minorHAnsi"/>
          <w:b/>
          <w:sz w:val="22"/>
        </w:rPr>
        <w:t>RJEŠENJE</w:t>
      </w:r>
    </w:p>
    <w:p w:rsidR="00174D5D" w:rsidRPr="00EA4B84" w:rsidRDefault="00EA4B84" w:rsidP="00174D5D">
      <w:pPr>
        <w:jc w:val="center"/>
        <w:rPr>
          <w:rFonts w:asciiTheme="minorHAnsi" w:hAnsiTheme="minorHAnsi"/>
          <w:b/>
          <w:sz w:val="22"/>
          <w:szCs w:val="22"/>
        </w:rPr>
      </w:pPr>
      <w:r>
        <w:rPr>
          <w:rFonts w:asciiTheme="minorHAnsi" w:hAnsiTheme="minorHAnsi"/>
          <w:b/>
          <w:sz w:val="22"/>
        </w:rPr>
        <w:t xml:space="preserve">O DODJELI PRORAČUNSKIH SREDSTAVA PO JAVNOM NATJEČAJU ZA ORGANIZACIJU </w:t>
      </w:r>
    </w:p>
    <w:p w:rsidR="00174D5D" w:rsidRPr="00EA4B84" w:rsidRDefault="00EA4B84" w:rsidP="00174D5D">
      <w:pPr>
        <w:jc w:val="center"/>
        <w:rPr>
          <w:rFonts w:asciiTheme="minorHAnsi" w:hAnsiTheme="minorHAnsi"/>
          <w:b/>
          <w:sz w:val="22"/>
          <w:szCs w:val="22"/>
        </w:rPr>
      </w:pPr>
      <w:r>
        <w:rPr>
          <w:rFonts w:asciiTheme="minorHAnsi" w:hAnsiTheme="minorHAnsi"/>
          <w:b/>
          <w:sz w:val="22"/>
        </w:rPr>
        <w:t>EDUKATIVNO-REKREACIJSKOG KAMPA UČENIKA SREDNJIH ŠKOLA</w:t>
      </w:r>
    </w:p>
    <w:p w:rsidR="00517438" w:rsidRPr="00EA4B84" w:rsidRDefault="00174D5D" w:rsidP="00174D5D">
      <w:pPr>
        <w:jc w:val="center"/>
        <w:rPr>
          <w:rFonts w:asciiTheme="minorHAnsi" w:hAnsiTheme="minorHAnsi"/>
          <w:b/>
          <w:sz w:val="22"/>
          <w:szCs w:val="22"/>
        </w:rPr>
      </w:pPr>
      <w:r>
        <w:rPr>
          <w:rFonts w:asciiTheme="minorHAnsi" w:hAnsiTheme="minorHAnsi"/>
          <w:b/>
          <w:sz w:val="22"/>
        </w:rPr>
        <w:t>„KAMP MULTIKULTURALIZMA 2025.“</w:t>
      </w:r>
    </w:p>
    <w:p w:rsidR="001B481F" w:rsidRPr="00EA4B84" w:rsidRDefault="001B481F" w:rsidP="00517438">
      <w:pPr>
        <w:jc w:val="center"/>
        <w:rPr>
          <w:rFonts w:asciiTheme="minorHAnsi" w:hAnsiTheme="minorHAnsi"/>
          <w:sz w:val="20"/>
          <w:szCs w:val="20"/>
        </w:rPr>
      </w:pPr>
    </w:p>
    <w:p w:rsidR="00E62E02" w:rsidRPr="00EA4B84" w:rsidRDefault="00F23D64" w:rsidP="0056396F">
      <w:pPr>
        <w:jc w:val="center"/>
        <w:rPr>
          <w:rFonts w:asciiTheme="minorHAnsi" w:hAnsiTheme="minorHAnsi"/>
          <w:b/>
          <w:sz w:val="20"/>
          <w:szCs w:val="20"/>
        </w:rPr>
      </w:pPr>
      <w:r>
        <w:rPr>
          <w:rFonts w:asciiTheme="minorHAnsi" w:hAnsiTheme="minorHAnsi"/>
          <w:b/>
          <w:sz w:val="20"/>
        </w:rPr>
        <w:t>I.</w:t>
      </w:r>
    </w:p>
    <w:p w:rsidR="002036F0" w:rsidRPr="00EA4B84" w:rsidRDefault="002036F0" w:rsidP="0056396F">
      <w:pPr>
        <w:jc w:val="center"/>
        <w:rPr>
          <w:rFonts w:asciiTheme="minorHAnsi" w:hAnsiTheme="minorHAnsi"/>
          <w:sz w:val="16"/>
          <w:szCs w:val="20"/>
        </w:rPr>
      </w:pPr>
    </w:p>
    <w:p w:rsidR="00E0051A" w:rsidRPr="00EA4B84" w:rsidRDefault="00EA4B84" w:rsidP="00F91064">
      <w:pPr>
        <w:ind w:right="-46" w:firstLine="540"/>
        <w:jc w:val="both"/>
        <w:rPr>
          <w:rFonts w:asciiTheme="minorHAnsi" w:hAnsiTheme="minorHAnsi" w:cs="Arial"/>
          <w:bCs/>
          <w:sz w:val="20"/>
          <w:szCs w:val="22"/>
        </w:rPr>
      </w:pPr>
      <w:r>
        <w:rPr>
          <w:rFonts w:asciiTheme="minorHAnsi" w:hAnsiTheme="minorHAnsi"/>
          <w:sz w:val="20"/>
        </w:rPr>
        <w:t>Na temelju Javnog natječaja za organizaciju edukativno-rekreacijskog kampa učenika srednjih škola</w:t>
      </w:r>
      <w:r w:rsidR="00F91064">
        <w:rPr>
          <w:rFonts w:asciiTheme="minorHAnsi" w:hAnsiTheme="minorHAnsi" w:cs="Arial"/>
          <w:bCs/>
          <w:sz w:val="20"/>
          <w:szCs w:val="22"/>
        </w:rPr>
        <w:t xml:space="preserve"> </w:t>
      </w:r>
      <w:r w:rsidR="00174D5D">
        <w:rPr>
          <w:rFonts w:asciiTheme="minorHAnsi" w:hAnsiTheme="minorHAnsi"/>
          <w:sz w:val="20"/>
        </w:rPr>
        <w:t>„Kamp multikulturalizma 2025“, raspisanog dana 23. 4. 2025. godine pod klasom: 001878778 2025 09427 005 001 000 001, koji je objavljen na internetskoj prezentaciji Tajništva 23. 4. 2025. godine i u „Službenom listu APV“, broj: 23/2025, sredstva se dodjeljuju podnositelju prijave:</w:t>
      </w:r>
    </w:p>
    <w:p w:rsidR="00FB4383" w:rsidRPr="00EA4B84" w:rsidRDefault="00FB4383" w:rsidP="002B5C59">
      <w:pPr>
        <w:rPr>
          <w:rFonts w:asciiTheme="minorHAnsi" w:hAnsiTheme="minorHAnsi"/>
          <w:b/>
          <w:sz w:val="20"/>
          <w:szCs w:val="20"/>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B875F7" w:rsidRPr="00EA4B84" w:rsidTr="0025674D">
        <w:trPr>
          <w:trHeight w:val="821"/>
        </w:trPr>
        <w:tc>
          <w:tcPr>
            <w:tcW w:w="2981" w:type="dxa"/>
            <w:shd w:val="clear" w:color="auto" w:fill="A6A6A6" w:themeFill="background1" w:themeFillShade="A6"/>
            <w:vAlign w:val="center"/>
          </w:tcPr>
          <w:p w:rsidR="00B875F7" w:rsidRPr="00EA4B84" w:rsidRDefault="00EA4B84" w:rsidP="00F715CB">
            <w:pPr>
              <w:jc w:val="center"/>
              <w:rPr>
                <w:rFonts w:ascii="Calibri" w:eastAsia="Calibri" w:hAnsi="Calibri" w:cs="Calibri"/>
                <w:b/>
                <w:bCs/>
                <w:sz w:val="18"/>
                <w:szCs w:val="18"/>
              </w:rPr>
            </w:pPr>
            <w:r>
              <w:rPr>
                <w:rFonts w:ascii="Calibri" w:hAnsi="Calibri"/>
                <w:b/>
                <w:sz w:val="18"/>
              </w:rPr>
              <w:t>Podnositelj prijave</w:t>
            </w:r>
          </w:p>
        </w:tc>
        <w:tc>
          <w:tcPr>
            <w:tcW w:w="1885" w:type="dxa"/>
            <w:shd w:val="clear" w:color="auto" w:fill="A6A6A6" w:themeFill="background1" w:themeFillShade="A6"/>
            <w:vAlign w:val="center"/>
          </w:tcPr>
          <w:p w:rsidR="00B875F7" w:rsidRPr="00EA4B84" w:rsidRDefault="00EA4B84" w:rsidP="00F715CB">
            <w:pPr>
              <w:jc w:val="center"/>
              <w:rPr>
                <w:rFonts w:ascii="Calibri" w:eastAsia="Calibri" w:hAnsi="Calibri" w:cs="Calibri"/>
                <w:b/>
                <w:bCs/>
                <w:sz w:val="18"/>
                <w:szCs w:val="18"/>
              </w:rPr>
            </w:pPr>
            <w:r>
              <w:rPr>
                <w:rFonts w:ascii="Calibri" w:hAnsi="Calibri"/>
                <w:b/>
                <w:sz w:val="18"/>
              </w:rPr>
              <w:t>Naseljeno mjesto</w:t>
            </w:r>
          </w:p>
        </w:tc>
        <w:tc>
          <w:tcPr>
            <w:tcW w:w="1459" w:type="dxa"/>
            <w:shd w:val="clear" w:color="auto" w:fill="A6A6A6" w:themeFill="background1" w:themeFillShade="A6"/>
            <w:vAlign w:val="center"/>
          </w:tcPr>
          <w:p w:rsidR="00B875F7" w:rsidRPr="00EA4B84" w:rsidRDefault="00EA4B84" w:rsidP="00F715CB">
            <w:pPr>
              <w:jc w:val="center"/>
              <w:rPr>
                <w:rFonts w:ascii="Calibri" w:eastAsia="Calibri" w:hAnsi="Calibri" w:cs="Calibri"/>
                <w:b/>
                <w:bCs/>
                <w:sz w:val="18"/>
                <w:szCs w:val="18"/>
              </w:rPr>
            </w:pPr>
            <w:r>
              <w:rPr>
                <w:rFonts w:ascii="Calibri" w:hAnsi="Calibri"/>
                <w:b/>
                <w:sz w:val="18"/>
              </w:rPr>
              <w:t>Prijedlog iznosa za dodjelu</w:t>
            </w:r>
          </w:p>
        </w:tc>
        <w:tc>
          <w:tcPr>
            <w:tcW w:w="2556" w:type="dxa"/>
            <w:shd w:val="clear" w:color="auto" w:fill="A6A6A6" w:themeFill="background1" w:themeFillShade="A6"/>
            <w:vAlign w:val="center"/>
          </w:tcPr>
          <w:p w:rsidR="00B875F7" w:rsidRPr="00EA4B84" w:rsidRDefault="00F91064" w:rsidP="00F715CB">
            <w:pPr>
              <w:jc w:val="center"/>
              <w:rPr>
                <w:rFonts w:ascii="Calibri" w:eastAsia="Calibri" w:hAnsi="Calibri" w:cs="Calibri"/>
                <w:b/>
                <w:bCs/>
                <w:sz w:val="18"/>
                <w:szCs w:val="18"/>
              </w:rPr>
            </w:pPr>
            <w:r>
              <w:rPr>
                <w:rFonts w:ascii="Calibri" w:hAnsi="Calibri"/>
                <w:b/>
                <w:sz w:val="18"/>
              </w:rPr>
              <w:t>Klasa</w:t>
            </w:r>
            <w:r w:rsidR="00EA4B84">
              <w:rPr>
                <w:rFonts w:ascii="Calibri" w:hAnsi="Calibri"/>
                <w:b/>
                <w:sz w:val="18"/>
              </w:rPr>
              <w:t xml:space="preserve"> predmeta</w:t>
            </w:r>
          </w:p>
        </w:tc>
        <w:tc>
          <w:tcPr>
            <w:tcW w:w="1066" w:type="dxa"/>
            <w:shd w:val="clear" w:color="auto" w:fill="A6A6A6" w:themeFill="background1" w:themeFillShade="A6"/>
            <w:vAlign w:val="center"/>
          </w:tcPr>
          <w:p w:rsidR="00B875F7" w:rsidRPr="00EA4B84" w:rsidRDefault="00EA4B84" w:rsidP="0025674D">
            <w:pPr>
              <w:jc w:val="center"/>
              <w:rPr>
                <w:rFonts w:ascii="Calibri" w:eastAsia="Calibri" w:hAnsi="Calibri" w:cs="Calibri"/>
                <w:b/>
                <w:bCs/>
                <w:sz w:val="18"/>
                <w:szCs w:val="18"/>
              </w:rPr>
            </w:pPr>
            <w:r>
              <w:rPr>
                <w:rFonts w:ascii="Calibri" w:hAnsi="Calibri"/>
                <w:b/>
                <w:sz w:val="18"/>
              </w:rPr>
              <w:t>Broj</w:t>
            </w:r>
          </w:p>
          <w:p w:rsidR="00B875F7" w:rsidRPr="00EA4B84" w:rsidRDefault="00EA4B84" w:rsidP="0025674D">
            <w:pPr>
              <w:jc w:val="center"/>
              <w:rPr>
                <w:rFonts w:ascii="Calibri" w:eastAsia="Calibri" w:hAnsi="Calibri" w:cs="Calibri"/>
                <w:b/>
                <w:bCs/>
                <w:sz w:val="18"/>
                <w:szCs w:val="18"/>
              </w:rPr>
            </w:pPr>
            <w:r>
              <w:rPr>
                <w:rFonts w:ascii="Calibri" w:hAnsi="Calibri"/>
                <w:b/>
                <w:sz w:val="18"/>
              </w:rPr>
              <w:t>bodova</w:t>
            </w:r>
          </w:p>
        </w:tc>
      </w:tr>
      <w:tr w:rsidR="00B875F7" w:rsidRPr="00EA4B84" w:rsidTr="0025674D">
        <w:trPr>
          <w:trHeight w:val="834"/>
        </w:trPr>
        <w:tc>
          <w:tcPr>
            <w:tcW w:w="2981" w:type="dxa"/>
            <w:vAlign w:val="center"/>
          </w:tcPr>
          <w:p w:rsidR="00B875F7" w:rsidRPr="00EA4B84" w:rsidRDefault="00EA4B84" w:rsidP="00F715CB">
            <w:pPr>
              <w:jc w:val="center"/>
              <w:rPr>
                <w:rFonts w:asciiTheme="minorHAnsi" w:hAnsiTheme="minorHAnsi" w:cs="Arial"/>
                <w:sz w:val="18"/>
                <w:szCs w:val="18"/>
              </w:rPr>
            </w:pPr>
            <w:r>
              <w:rPr>
                <w:rFonts w:asciiTheme="minorHAnsi" w:hAnsiTheme="minorHAnsi"/>
                <w:sz w:val="18"/>
              </w:rPr>
              <w:t>Sportska udruga „</w:t>
            </w:r>
            <w:proofErr w:type="spellStart"/>
            <w:r>
              <w:rPr>
                <w:rFonts w:asciiTheme="minorHAnsi" w:hAnsiTheme="minorHAnsi"/>
                <w:sz w:val="18"/>
              </w:rPr>
              <w:t>Bro’s</w:t>
            </w:r>
            <w:proofErr w:type="spellEnd"/>
            <w:r>
              <w:rPr>
                <w:rFonts w:asciiTheme="minorHAnsi" w:hAnsiTheme="minorHAnsi"/>
                <w:sz w:val="18"/>
              </w:rPr>
              <w:t xml:space="preserve"> </w:t>
            </w:r>
            <w:proofErr w:type="spellStart"/>
            <w:r>
              <w:rPr>
                <w:rFonts w:asciiTheme="minorHAnsi" w:hAnsiTheme="minorHAnsi"/>
                <w:sz w:val="18"/>
              </w:rPr>
              <w:t>Gym</w:t>
            </w:r>
            <w:proofErr w:type="spellEnd"/>
            <w:r>
              <w:rPr>
                <w:rFonts w:asciiTheme="minorHAnsi" w:hAnsiTheme="minorHAnsi"/>
                <w:sz w:val="18"/>
              </w:rPr>
              <w:t>“</w:t>
            </w:r>
          </w:p>
        </w:tc>
        <w:tc>
          <w:tcPr>
            <w:tcW w:w="1885" w:type="dxa"/>
            <w:vAlign w:val="center"/>
          </w:tcPr>
          <w:p w:rsidR="00B875F7" w:rsidRPr="00EA4B84" w:rsidRDefault="00EA4B84" w:rsidP="00F715CB">
            <w:pPr>
              <w:jc w:val="center"/>
              <w:rPr>
                <w:rFonts w:asciiTheme="minorHAnsi" w:hAnsiTheme="minorHAnsi" w:cs="Arial"/>
                <w:sz w:val="18"/>
                <w:szCs w:val="18"/>
              </w:rPr>
            </w:pPr>
            <w:proofErr w:type="spellStart"/>
            <w:r>
              <w:rPr>
                <w:rFonts w:asciiTheme="minorHAnsi" w:hAnsiTheme="minorHAnsi"/>
                <w:sz w:val="18"/>
              </w:rPr>
              <w:t>Kanjiža</w:t>
            </w:r>
            <w:proofErr w:type="spellEnd"/>
          </w:p>
        </w:tc>
        <w:tc>
          <w:tcPr>
            <w:tcW w:w="1459" w:type="dxa"/>
            <w:vAlign w:val="center"/>
          </w:tcPr>
          <w:p w:rsidR="00F715CB" w:rsidRPr="00EA4B84" w:rsidRDefault="00F715CB" w:rsidP="00F715CB">
            <w:pPr>
              <w:jc w:val="center"/>
              <w:rPr>
                <w:rFonts w:asciiTheme="minorHAnsi" w:hAnsiTheme="minorHAnsi" w:cs="Arial"/>
                <w:sz w:val="18"/>
                <w:szCs w:val="18"/>
              </w:rPr>
            </w:pPr>
            <w:r>
              <w:rPr>
                <w:rFonts w:asciiTheme="minorHAnsi" w:hAnsiTheme="minorHAnsi"/>
                <w:sz w:val="18"/>
              </w:rPr>
              <w:t>4.000.000,00</w:t>
            </w:r>
          </w:p>
          <w:p w:rsidR="00B875F7" w:rsidRPr="00EA4B84" w:rsidRDefault="00EA4B84" w:rsidP="00F715CB">
            <w:pPr>
              <w:jc w:val="center"/>
              <w:rPr>
                <w:rFonts w:asciiTheme="minorHAnsi" w:hAnsiTheme="minorHAnsi" w:cs="Arial"/>
                <w:sz w:val="18"/>
                <w:szCs w:val="18"/>
              </w:rPr>
            </w:pPr>
            <w:r>
              <w:rPr>
                <w:rFonts w:asciiTheme="minorHAnsi" w:hAnsiTheme="minorHAnsi"/>
                <w:sz w:val="18"/>
              </w:rPr>
              <w:t>dinara</w:t>
            </w:r>
          </w:p>
        </w:tc>
        <w:tc>
          <w:tcPr>
            <w:tcW w:w="2556" w:type="dxa"/>
            <w:vAlign w:val="center"/>
          </w:tcPr>
          <w:p w:rsidR="00F715CB" w:rsidRPr="00EA4B84" w:rsidRDefault="00F715CB" w:rsidP="00F715CB">
            <w:pPr>
              <w:jc w:val="center"/>
              <w:rPr>
                <w:rFonts w:asciiTheme="minorHAnsi" w:eastAsia="Calibri" w:hAnsiTheme="minorHAnsi" w:cstheme="minorHAnsi"/>
                <w:sz w:val="18"/>
                <w:szCs w:val="18"/>
              </w:rPr>
            </w:pPr>
            <w:r>
              <w:rPr>
                <w:rFonts w:asciiTheme="minorHAnsi" w:hAnsiTheme="minorHAnsi"/>
                <w:sz w:val="18"/>
              </w:rPr>
              <w:t>001878778 2025 09427 005</w:t>
            </w:r>
          </w:p>
          <w:p w:rsidR="00B875F7" w:rsidRPr="00EA4B84" w:rsidRDefault="00F715CB" w:rsidP="00F715CB">
            <w:pPr>
              <w:jc w:val="center"/>
              <w:rPr>
                <w:rFonts w:asciiTheme="minorHAnsi" w:hAnsiTheme="minorHAnsi" w:cs="Arial"/>
                <w:sz w:val="18"/>
                <w:szCs w:val="18"/>
              </w:rPr>
            </w:pPr>
            <w:r>
              <w:rPr>
                <w:rFonts w:asciiTheme="minorHAnsi" w:hAnsiTheme="minorHAnsi"/>
                <w:sz w:val="18"/>
              </w:rPr>
              <w:t>001 000 001 01 002</w:t>
            </w:r>
          </w:p>
        </w:tc>
        <w:tc>
          <w:tcPr>
            <w:tcW w:w="1066" w:type="dxa"/>
            <w:vAlign w:val="center"/>
          </w:tcPr>
          <w:p w:rsidR="00B875F7" w:rsidRPr="00EA4B84" w:rsidRDefault="00F715CB" w:rsidP="0025674D">
            <w:pPr>
              <w:jc w:val="center"/>
              <w:rPr>
                <w:rFonts w:asciiTheme="minorHAnsi" w:hAnsiTheme="minorHAnsi" w:cs="Arial"/>
                <w:sz w:val="18"/>
                <w:szCs w:val="18"/>
              </w:rPr>
            </w:pPr>
            <w:r>
              <w:rPr>
                <w:rFonts w:asciiTheme="minorHAnsi" w:hAnsiTheme="minorHAnsi"/>
                <w:sz w:val="18"/>
              </w:rPr>
              <w:t>28</w:t>
            </w:r>
          </w:p>
        </w:tc>
      </w:tr>
    </w:tbl>
    <w:p w:rsidR="00B875F7" w:rsidRPr="00EA4B84" w:rsidRDefault="00B875F7" w:rsidP="002B5C59">
      <w:pPr>
        <w:rPr>
          <w:rFonts w:asciiTheme="minorHAnsi" w:hAnsiTheme="minorHAnsi"/>
          <w:b/>
          <w:sz w:val="20"/>
          <w:szCs w:val="20"/>
        </w:rPr>
      </w:pPr>
    </w:p>
    <w:p w:rsidR="002737C2" w:rsidRPr="00EA4B84" w:rsidRDefault="00A42689" w:rsidP="002737C2">
      <w:pPr>
        <w:spacing w:after="160" w:line="259" w:lineRule="auto"/>
        <w:jc w:val="center"/>
        <w:rPr>
          <w:rFonts w:asciiTheme="minorHAnsi" w:hAnsiTheme="minorHAnsi" w:cstheme="minorHAnsi"/>
          <w:b/>
          <w:sz w:val="20"/>
          <w:szCs w:val="20"/>
        </w:rPr>
      </w:pPr>
      <w:r>
        <w:rPr>
          <w:rFonts w:asciiTheme="minorHAnsi" w:hAnsiTheme="minorHAnsi"/>
          <w:b/>
          <w:sz w:val="20"/>
        </w:rPr>
        <w:t>II.</w:t>
      </w:r>
    </w:p>
    <w:p w:rsidR="002737C2" w:rsidRPr="00EA4B84" w:rsidRDefault="00EA4B84" w:rsidP="002737C2">
      <w:pPr>
        <w:ind w:firstLine="708"/>
        <w:jc w:val="both"/>
        <w:rPr>
          <w:rFonts w:asciiTheme="minorHAnsi" w:hAnsiTheme="minorHAnsi" w:cstheme="minorHAnsi"/>
          <w:sz w:val="20"/>
          <w:szCs w:val="20"/>
        </w:rPr>
      </w:pPr>
      <w:r>
        <w:rPr>
          <w:rFonts w:asciiTheme="minorHAnsi" w:hAnsiTheme="minorHAnsi"/>
          <w:sz w:val="20"/>
        </w:rPr>
        <w:t>Ovo rješenje o izboru programa/projekata je konačno i objavljuje se na službenoj mrežnoj stranici Pokrajinskog tajništva.</w:t>
      </w:r>
    </w:p>
    <w:p w:rsidR="00707AD1" w:rsidRPr="00EA4B84" w:rsidRDefault="00707AD1" w:rsidP="002737C2">
      <w:pPr>
        <w:ind w:firstLine="708"/>
        <w:jc w:val="both"/>
        <w:rPr>
          <w:rFonts w:asciiTheme="minorHAnsi" w:hAnsiTheme="minorHAnsi" w:cstheme="minorHAnsi"/>
          <w:sz w:val="20"/>
          <w:szCs w:val="20"/>
        </w:rPr>
      </w:pPr>
    </w:p>
    <w:p w:rsidR="002737C2" w:rsidRPr="00EA4B84" w:rsidRDefault="00EA4B84" w:rsidP="002737C2">
      <w:pPr>
        <w:jc w:val="center"/>
        <w:rPr>
          <w:rFonts w:asciiTheme="minorHAnsi" w:hAnsiTheme="minorHAnsi" w:cstheme="minorHAnsi"/>
          <w:b/>
          <w:sz w:val="20"/>
          <w:szCs w:val="20"/>
        </w:rPr>
      </w:pPr>
      <w:r>
        <w:rPr>
          <w:rFonts w:asciiTheme="minorHAnsi" w:hAnsiTheme="minorHAnsi"/>
          <w:b/>
          <w:sz w:val="20"/>
        </w:rPr>
        <w:t>Obrazloženje</w:t>
      </w:r>
    </w:p>
    <w:p w:rsidR="002737C2" w:rsidRPr="00EA4B84" w:rsidRDefault="002737C2" w:rsidP="002737C2">
      <w:pPr>
        <w:jc w:val="center"/>
        <w:rPr>
          <w:rFonts w:asciiTheme="minorHAnsi" w:hAnsiTheme="minorHAnsi" w:cstheme="minorHAnsi"/>
          <w:sz w:val="20"/>
          <w:szCs w:val="20"/>
        </w:rPr>
      </w:pPr>
    </w:p>
    <w:p w:rsidR="002737C2" w:rsidRPr="00EA4B84" w:rsidRDefault="00EA4B84" w:rsidP="006E5428">
      <w:pPr>
        <w:ind w:firstLine="708"/>
        <w:jc w:val="both"/>
        <w:rPr>
          <w:rFonts w:asciiTheme="minorHAnsi" w:hAnsiTheme="minorHAnsi" w:cstheme="minorHAnsi"/>
          <w:bCs/>
          <w:sz w:val="20"/>
          <w:szCs w:val="20"/>
        </w:rPr>
      </w:pPr>
      <w:r>
        <w:rPr>
          <w:rFonts w:asciiTheme="minorHAnsi" w:hAnsiTheme="minorHAnsi"/>
          <w:sz w:val="20"/>
        </w:rPr>
        <w:t xml:space="preserve">Na temelju članka 11. u vezi s člancima 23, 25. i 26. Pokrajinske skupštinske odluke o proračunu Autonomne Pokrajine Vojvodine za 2025. godinu („Sl. list APV“, broj: 57/2024), članka 7. Pokrajinske skupštinske odluke o dodjeli proračunskih sredstava za unaprjeđenje položaja nacionalnih manjina – nacionalnih zajednica i razvoj multikulturalizma i tolerancije, članka 6. Uredbe o sredstvima za poticanje programa ili nedostajućeg dijela sredstava za financiranje programa od javnog interesa koje realiziraju udruge („Sl. glasnik RS“, broj: 16/2018) i članka 3. Pravilnika o dodjeli proračunskih sredstava Pokrajinskog tajništva za obrazovanje, propise, upravu i nacionalne manjine – nacionalne zajednice za financiranje ili sufinanciranje </w:t>
      </w:r>
      <w:proofErr w:type="spellStart"/>
      <w:r>
        <w:rPr>
          <w:rFonts w:asciiTheme="minorHAnsi" w:hAnsiTheme="minorHAnsi"/>
          <w:sz w:val="20"/>
        </w:rPr>
        <w:t>potprojekta</w:t>
      </w:r>
      <w:proofErr w:type="spellEnd"/>
      <w:r>
        <w:rPr>
          <w:rFonts w:asciiTheme="minorHAnsi" w:hAnsiTheme="minorHAnsi"/>
          <w:sz w:val="20"/>
        </w:rPr>
        <w:t xml:space="preserve"> „Kamp multikulturalizma“ u 2025. godini, Pokrajinsko tajništvo za obrazovanje, propise, upravu i nacionalne manjine – nacionalne zajednice je dana 23. 4. 2025. godine raspisalo Javni natječaj za organizaciju edukativno-rekreacijskog kampa učenika srednjih škola „Kamp multikulturalizma 2025“, pod klasom: 001878778 2025 09427 005 001 000 001.</w:t>
      </w:r>
    </w:p>
    <w:p w:rsidR="002737C2" w:rsidRPr="00EA4B84" w:rsidRDefault="00EA4B84" w:rsidP="002737C2">
      <w:pPr>
        <w:ind w:firstLine="708"/>
        <w:jc w:val="both"/>
        <w:rPr>
          <w:rFonts w:asciiTheme="minorHAnsi" w:hAnsiTheme="minorHAnsi" w:cstheme="minorHAnsi"/>
          <w:bCs/>
          <w:sz w:val="20"/>
          <w:szCs w:val="20"/>
        </w:rPr>
      </w:pPr>
      <w:r>
        <w:rPr>
          <w:rFonts w:asciiTheme="minorHAnsi" w:hAnsiTheme="minorHAnsi"/>
          <w:sz w:val="20"/>
        </w:rPr>
        <w:lastRenderedPageBreak/>
        <w:t xml:space="preserve">Pokrajinskom skupštinskom odlukom o dodjeli proračunskih sredstava za unaprjeđenje položaja nacionalnih manjina – nacionalnih zajednica i razvoj multikulturalizma i tolerancije i Pravilnikom o dodjeli proračunskih sredstava Pokrajinskog tajništva za obrazovanje, propise, upravu i nacionalne manjine – nacionalne zajednice za financiranje ili sufinanciranje </w:t>
      </w:r>
      <w:proofErr w:type="spellStart"/>
      <w:r>
        <w:rPr>
          <w:rFonts w:asciiTheme="minorHAnsi" w:hAnsiTheme="minorHAnsi"/>
          <w:sz w:val="20"/>
        </w:rPr>
        <w:t>potprojekta</w:t>
      </w:r>
      <w:proofErr w:type="spellEnd"/>
      <w:r>
        <w:rPr>
          <w:rFonts w:asciiTheme="minorHAnsi" w:hAnsiTheme="minorHAnsi"/>
          <w:sz w:val="20"/>
        </w:rPr>
        <w:t xml:space="preserve"> „Kamp multikulturalizma“ u 2025. godini, uređuju se namjena, način i postupak za dodjelu proračunskih sredstava za sufinanciranje programa i projekata za unaprjeđivanje položaja nacionalnih manjina – nacionalnih zajednica i razvoj multikulturalizma i tolerancije na teritoriju Autonomne Pokrajine Vojvodine. </w:t>
      </w:r>
    </w:p>
    <w:p w:rsidR="002737C2" w:rsidRPr="00EA4B84" w:rsidRDefault="00EA4B84" w:rsidP="002737C2">
      <w:pPr>
        <w:ind w:firstLine="708"/>
        <w:jc w:val="both"/>
        <w:rPr>
          <w:rFonts w:asciiTheme="minorHAnsi" w:hAnsiTheme="minorHAnsi" w:cstheme="minorHAnsi"/>
          <w:sz w:val="20"/>
          <w:szCs w:val="20"/>
        </w:rPr>
      </w:pPr>
      <w:r>
        <w:rPr>
          <w:rFonts w:asciiTheme="minorHAnsi" w:hAnsiTheme="minorHAnsi"/>
          <w:sz w:val="20"/>
        </w:rPr>
        <w:t>Navedena sredstva se osiguravaju u proračunu AP Vojvodine i vode se na posebnom proračunskom razdjelu pokrajinskog tijela uprave nadležnog za područje nacionalnih manjina − nacionalnih zajednica.</w:t>
      </w:r>
    </w:p>
    <w:p w:rsidR="003F345F" w:rsidRPr="00EA4B84" w:rsidRDefault="00EA4B84" w:rsidP="002737C2">
      <w:pPr>
        <w:ind w:firstLine="708"/>
        <w:jc w:val="both"/>
        <w:rPr>
          <w:rFonts w:asciiTheme="minorHAnsi" w:hAnsiTheme="minorHAnsi" w:cstheme="minorHAnsi"/>
          <w:sz w:val="20"/>
          <w:szCs w:val="20"/>
        </w:rPr>
      </w:pPr>
      <w:r>
        <w:rPr>
          <w:rFonts w:asciiTheme="minorHAnsi" w:hAnsiTheme="minorHAnsi"/>
          <w:sz w:val="20"/>
        </w:rPr>
        <w:t>Na temelju Natječaja provedenog sukladno člancima 23</w:t>
      </w:r>
      <w:r w:rsidR="00F91064">
        <w:rPr>
          <w:rFonts w:asciiTheme="minorHAnsi" w:hAnsiTheme="minorHAnsi"/>
          <w:sz w:val="20"/>
        </w:rPr>
        <w:t>.</w:t>
      </w:r>
      <w:r>
        <w:rPr>
          <w:rFonts w:asciiTheme="minorHAnsi" w:hAnsiTheme="minorHAnsi"/>
          <w:sz w:val="20"/>
        </w:rPr>
        <w:t>, 25. i 26. Pokrajinske skupštinske odluke o proračunu Autonomne Pokrajine Vojvodine za 2025. godinu i opsega osiguranih sredstava za navedene namjene, utvrđenih člankom 11. iste Odluke, obavlja se raspodjela sredstava prema dospjelim prijavama na Natječaj. Pravo na dodjelu proračunskih sredstava Pokrajinskog tajništva za unaprjeđivanje položaja nacionalnih manjina – nacionalnih zajednica</w:t>
      </w:r>
      <w:r>
        <w:rPr>
          <w:rFonts w:asciiTheme="minorHAnsi" w:hAnsiTheme="minorHAnsi"/>
          <w:sz w:val="22"/>
        </w:rPr>
        <w:t xml:space="preserve"> </w:t>
      </w:r>
      <w:r>
        <w:rPr>
          <w:rFonts w:asciiTheme="minorHAnsi" w:hAnsiTheme="minorHAnsi"/>
          <w:sz w:val="20"/>
        </w:rPr>
        <w:t>i razvoj multikulturalizma i tolerancije imaju udruge, fondovi, zaklade, koji imaju registrirano sjedište na teritoriju AP Vojvodine, i čija je djelatnost i cilj osnivanja, u vezi s razvojem multikulturalizma i tolerancije u AP Vojvodini.</w:t>
      </w:r>
    </w:p>
    <w:p w:rsidR="002737C2" w:rsidRPr="00EA4B84" w:rsidRDefault="00EA4B84" w:rsidP="002737C2">
      <w:pPr>
        <w:ind w:firstLine="708"/>
        <w:jc w:val="both"/>
        <w:rPr>
          <w:rFonts w:asciiTheme="minorHAnsi" w:hAnsiTheme="minorHAnsi" w:cstheme="minorHAnsi"/>
          <w:sz w:val="20"/>
          <w:szCs w:val="20"/>
        </w:rPr>
      </w:pPr>
      <w:r>
        <w:rPr>
          <w:rFonts w:asciiTheme="minorHAnsi" w:hAnsiTheme="minorHAnsi"/>
          <w:sz w:val="20"/>
        </w:rPr>
        <w:t>Člankom 15. Pokrajinske skupštinske odluke o pokrajinskoj upravi utvrđeno je da radi izvršavanja zakona, drugih propisa i općih akata Republike Srbije, propisa Skupštine i Pokrajinske vlade, pokrajinska tijela uprave donose propise i pojedinačne akte, kad su za to ovlašteni, a člankom 16. stavkom 5. iste Odluke, da se rješenjem odlučuje o pojedinačnim stvarima, sukladno propisima. Sukladno članku 24. stavku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stavkom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unapređivanje ostvarivanja prava pripadnika nacionalnih manjina ‒ nacionalnih zajednica s teritorija AP Vojvodine.</w:t>
      </w:r>
    </w:p>
    <w:p w:rsidR="002737C2" w:rsidRPr="00EA4B84" w:rsidRDefault="00EA4B84" w:rsidP="008D255A">
      <w:pPr>
        <w:ind w:firstLine="708"/>
        <w:jc w:val="both"/>
        <w:rPr>
          <w:rFonts w:asciiTheme="minorHAnsi" w:hAnsiTheme="minorHAnsi" w:cstheme="minorHAnsi"/>
          <w:bCs/>
          <w:sz w:val="20"/>
          <w:szCs w:val="20"/>
        </w:rPr>
      </w:pPr>
      <w:r>
        <w:rPr>
          <w:rFonts w:asciiTheme="minorHAnsi" w:hAnsiTheme="minorHAnsi"/>
          <w:sz w:val="20"/>
        </w:rPr>
        <w:t>Natječajno povjerenstvo za provedbu postupka dodjele proračunskih sredstava na temelju Javnog natječaja za organizaciju edukativno-rekreacijskog kampa učenika srednjih škola „Kamp multikulturalizma 2025“, formirano je rješenjem klasa: 001878778 2025 09427 005 001 000 001 od  19. 5. 2025. godine. Povjerenstvo je zasjedalo 21. 5. 2025. godine i nakon razmatranja i vrednovanja prijava udruga, fondova i zaklada na navedenom natječaju, utvrdilo je Listu vrednovanja i rangiranja prijavljenih programa i projekata na Javnom natječaju za organizaciju edukativno-rekreacijskog kampa učenika srednjih škola „Kamp multikulturalizma 2025“, koja je objavljena na službenoj mrežnoj stranici Pokrajinskog tajništva 21. 5. 2025. godine. Sudionici Natječaja imali su pravo prigovora na listu vrednovanja i rangiranja u roku od 8 dana od dana njezine objave. Na Listu vrednovanja za dodjelu proračunskih sredstava po Javnom natječaju za organizaciju edukativno-rekreacijskog kampa učenika srednjih škola nije bilo prigovora.</w:t>
      </w:r>
    </w:p>
    <w:p w:rsidR="0038748D" w:rsidRPr="00EA4B84" w:rsidRDefault="00EA4B84" w:rsidP="008C2373">
      <w:pPr>
        <w:ind w:firstLine="708"/>
        <w:jc w:val="both"/>
        <w:rPr>
          <w:rFonts w:asciiTheme="minorHAnsi" w:hAnsiTheme="minorHAnsi" w:cstheme="minorHAnsi"/>
          <w:sz w:val="20"/>
          <w:szCs w:val="20"/>
        </w:rPr>
      </w:pPr>
      <w:r>
        <w:rPr>
          <w:rFonts w:asciiTheme="minorHAnsi" w:hAnsiTheme="minorHAnsi"/>
          <w:sz w:val="20"/>
        </w:rPr>
        <w:t xml:space="preserve">Sukladno navedenom, a u vezi s člankom 11. Pokrajinske skupštinske odluke o dodjeli proračunskih sredstava za unaprjeđenje položaja nacionalnih manjina – nacionalnih zajednica i razvoj multikulturalizma i tolerancije i člankom 11. Pravilnika o dodjeli proračunskih sredstava Pokrajinskog tajništva za obrazovanje, propise, upravu i nacionalne manjine – nacionalne zajednice za financiranje ili sufinanciranje </w:t>
      </w:r>
      <w:proofErr w:type="spellStart"/>
      <w:r>
        <w:rPr>
          <w:rFonts w:asciiTheme="minorHAnsi" w:hAnsiTheme="minorHAnsi"/>
          <w:sz w:val="20"/>
        </w:rPr>
        <w:t>potprojekta</w:t>
      </w:r>
      <w:proofErr w:type="spellEnd"/>
      <w:r>
        <w:rPr>
          <w:rFonts w:asciiTheme="minorHAnsi" w:hAnsiTheme="minorHAnsi"/>
          <w:sz w:val="20"/>
        </w:rPr>
        <w:t xml:space="preserve"> „Kamp multikulturalizma“ u 2025. godini, na prijedlog natječajnog povjerenstva za provedbu postupka dodjele proračunskih sredstava na temelju Javnog natječaja za organizaciju edukativno-rekreacijskog kampa učenika srednjih škola „Kamp multikulturalizma 2025“, pokrajinski tajnik je donio rješenje kao u izreci.</w:t>
      </w:r>
    </w:p>
    <w:p w:rsidR="00C41D4A" w:rsidRPr="00EA4B84" w:rsidRDefault="00C41D4A" w:rsidP="008C2373">
      <w:pPr>
        <w:ind w:firstLine="708"/>
        <w:jc w:val="both"/>
        <w:rPr>
          <w:rFonts w:asciiTheme="minorHAnsi" w:hAnsiTheme="minorHAnsi" w:cstheme="minorHAnsi"/>
          <w:bCs/>
          <w:sz w:val="20"/>
          <w:szCs w:val="20"/>
        </w:rPr>
      </w:pPr>
    </w:p>
    <w:p w:rsidR="0038748D" w:rsidRPr="00EA4B84" w:rsidRDefault="00EA4B84" w:rsidP="005701AA">
      <w:pPr>
        <w:ind w:firstLine="708"/>
        <w:jc w:val="both"/>
        <w:rPr>
          <w:rFonts w:asciiTheme="minorHAnsi" w:hAnsiTheme="minorHAnsi" w:cstheme="minorHAnsi"/>
          <w:sz w:val="20"/>
          <w:szCs w:val="20"/>
        </w:rPr>
      </w:pPr>
      <w:r>
        <w:rPr>
          <w:rFonts w:asciiTheme="minorHAnsi" w:hAnsiTheme="minorHAnsi"/>
          <w:sz w:val="20"/>
        </w:rPr>
        <w:t>Ovo rješenje je konačno.</w:t>
      </w:r>
    </w:p>
    <w:tbl>
      <w:tblPr>
        <w:tblW w:w="0" w:type="auto"/>
        <w:tblInd w:w="5209" w:type="dxa"/>
        <w:tblLook w:val="04A0" w:firstRow="1" w:lastRow="0" w:firstColumn="1" w:lastColumn="0" w:noHBand="0" w:noVBand="1"/>
      </w:tblPr>
      <w:tblGrid>
        <w:gridCol w:w="3176"/>
      </w:tblGrid>
      <w:tr w:rsidR="002737C2" w:rsidRPr="00EA4B84" w:rsidTr="007208A2">
        <w:tc>
          <w:tcPr>
            <w:tcW w:w="3176" w:type="dxa"/>
            <w:shd w:val="clear" w:color="auto" w:fill="auto"/>
          </w:tcPr>
          <w:p w:rsidR="002737C2" w:rsidRPr="00EA4B84" w:rsidRDefault="00EA4B84" w:rsidP="0038748D">
            <w:pPr>
              <w:jc w:val="center"/>
              <w:rPr>
                <w:rFonts w:asciiTheme="minorHAnsi" w:hAnsiTheme="minorHAnsi" w:cstheme="minorHAnsi"/>
                <w:sz w:val="20"/>
                <w:szCs w:val="20"/>
              </w:rPr>
            </w:pPr>
            <w:r>
              <w:rPr>
                <w:rFonts w:asciiTheme="minorHAnsi" w:hAnsiTheme="minorHAnsi"/>
                <w:sz w:val="20"/>
              </w:rPr>
              <w:t>POKRAJINSKI TAJNIK</w:t>
            </w:r>
          </w:p>
        </w:tc>
      </w:tr>
      <w:tr w:rsidR="005701AA" w:rsidRPr="00EA4B84" w:rsidTr="007208A2">
        <w:tc>
          <w:tcPr>
            <w:tcW w:w="3176" w:type="dxa"/>
            <w:shd w:val="clear" w:color="auto" w:fill="auto"/>
          </w:tcPr>
          <w:p w:rsidR="001B4FB5" w:rsidRPr="00EA4B84" w:rsidRDefault="001B4FB5" w:rsidP="001B4FB5">
            <w:pPr>
              <w:jc w:val="center"/>
              <w:rPr>
                <w:rFonts w:asciiTheme="minorHAnsi" w:hAnsiTheme="minorHAnsi" w:cstheme="minorHAnsi"/>
                <w:sz w:val="20"/>
                <w:szCs w:val="20"/>
              </w:rPr>
            </w:pPr>
          </w:p>
          <w:p w:rsidR="005701AA" w:rsidRPr="00EA4B84" w:rsidRDefault="005701AA" w:rsidP="001B4FB5">
            <w:pPr>
              <w:jc w:val="center"/>
              <w:rPr>
                <w:rFonts w:asciiTheme="minorHAnsi" w:hAnsiTheme="minorHAnsi" w:cstheme="minorHAnsi"/>
                <w:sz w:val="20"/>
                <w:szCs w:val="20"/>
              </w:rPr>
            </w:pPr>
            <w:r>
              <w:rPr>
                <w:rFonts w:asciiTheme="minorHAnsi" w:hAnsiTheme="minorHAnsi"/>
                <w:sz w:val="20"/>
              </w:rPr>
              <w:t>Róbert Ótott</w:t>
            </w:r>
          </w:p>
        </w:tc>
      </w:tr>
      <w:tr w:rsidR="005701AA" w:rsidRPr="00EA4B84" w:rsidTr="001B4FB5">
        <w:trPr>
          <w:trHeight w:val="70"/>
        </w:trPr>
        <w:tc>
          <w:tcPr>
            <w:tcW w:w="3176" w:type="dxa"/>
            <w:shd w:val="clear" w:color="auto" w:fill="auto"/>
          </w:tcPr>
          <w:p w:rsidR="005701AA" w:rsidRPr="00EA4B84" w:rsidRDefault="005701AA" w:rsidP="001B4FB5">
            <w:pPr>
              <w:jc w:val="center"/>
              <w:rPr>
                <w:rFonts w:asciiTheme="minorHAnsi" w:hAnsiTheme="minorHAnsi" w:cstheme="minorHAnsi"/>
                <w:sz w:val="20"/>
                <w:szCs w:val="20"/>
              </w:rPr>
            </w:pPr>
            <w:bookmarkStart w:id="0" w:name="_GoBack"/>
            <w:bookmarkEnd w:id="0"/>
          </w:p>
        </w:tc>
      </w:tr>
    </w:tbl>
    <w:p w:rsidR="00F870FF" w:rsidRPr="00EA4B84" w:rsidRDefault="00F870FF" w:rsidP="003D4232">
      <w:pPr>
        <w:tabs>
          <w:tab w:val="center" w:pos="7088"/>
        </w:tabs>
        <w:jc w:val="both"/>
        <w:rPr>
          <w:rFonts w:ascii="Calibri" w:hAnsi="Calibri"/>
          <w:sz w:val="22"/>
          <w:szCs w:val="20"/>
        </w:rPr>
      </w:pPr>
    </w:p>
    <w:sectPr w:rsidR="00F870FF" w:rsidRPr="00EA4B84" w:rsidSect="003D4232">
      <w:footerReference w:type="default" r:id="rId10"/>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58" w:rsidRDefault="00B16458" w:rsidP="004B01D0">
      <w:r>
        <w:separator/>
      </w:r>
    </w:p>
  </w:endnote>
  <w:endnote w:type="continuationSeparator" w:id="0">
    <w:p w:rsidR="00B16458" w:rsidRDefault="00B16458" w:rsidP="004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D0" w:rsidRDefault="004B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58" w:rsidRDefault="00B16458" w:rsidP="004B01D0">
      <w:r>
        <w:separator/>
      </w:r>
    </w:p>
  </w:footnote>
  <w:footnote w:type="continuationSeparator" w:id="0">
    <w:p w:rsidR="00B16458" w:rsidRDefault="00B16458" w:rsidP="004B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A62"/>
    <w:rsid w:val="000E08B8"/>
    <w:rsid w:val="000F0FCA"/>
    <w:rsid w:val="000F6E2B"/>
    <w:rsid w:val="00100204"/>
    <w:rsid w:val="0010789A"/>
    <w:rsid w:val="00111510"/>
    <w:rsid w:val="001302D1"/>
    <w:rsid w:val="00170FB1"/>
    <w:rsid w:val="00171206"/>
    <w:rsid w:val="00174D5D"/>
    <w:rsid w:val="001A4D28"/>
    <w:rsid w:val="001B481F"/>
    <w:rsid w:val="001B4FB5"/>
    <w:rsid w:val="001C10E4"/>
    <w:rsid w:val="001C28A1"/>
    <w:rsid w:val="001E0F0E"/>
    <w:rsid w:val="001E2518"/>
    <w:rsid w:val="001E617A"/>
    <w:rsid w:val="001F3988"/>
    <w:rsid w:val="002036F0"/>
    <w:rsid w:val="002272CD"/>
    <w:rsid w:val="00235B52"/>
    <w:rsid w:val="00236E33"/>
    <w:rsid w:val="002621B8"/>
    <w:rsid w:val="002737C2"/>
    <w:rsid w:val="002B380B"/>
    <w:rsid w:val="002B5C59"/>
    <w:rsid w:val="002E7BD9"/>
    <w:rsid w:val="002F4C3C"/>
    <w:rsid w:val="00303DDC"/>
    <w:rsid w:val="0031070D"/>
    <w:rsid w:val="00310FEE"/>
    <w:rsid w:val="00365634"/>
    <w:rsid w:val="00370053"/>
    <w:rsid w:val="00372A93"/>
    <w:rsid w:val="0038748D"/>
    <w:rsid w:val="0039448E"/>
    <w:rsid w:val="003A1A21"/>
    <w:rsid w:val="003A3641"/>
    <w:rsid w:val="003C4061"/>
    <w:rsid w:val="003C629D"/>
    <w:rsid w:val="003D4232"/>
    <w:rsid w:val="003D6B0F"/>
    <w:rsid w:val="003F3391"/>
    <w:rsid w:val="003F345F"/>
    <w:rsid w:val="003F6CD8"/>
    <w:rsid w:val="004148DE"/>
    <w:rsid w:val="0041529B"/>
    <w:rsid w:val="00431E35"/>
    <w:rsid w:val="00457D9A"/>
    <w:rsid w:val="00465482"/>
    <w:rsid w:val="00466F11"/>
    <w:rsid w:val="00473029"/>
    <w:rsid w:val="00483268"/>
    <w:rsid w:val="00496629"/>
    <w:rsid w:val="004B01D0"/>
    <w:rsid w:val="004C2E93"/>
    <w:rsid w:val="004C487B"/>
    <w:rsid w:val="004D281B"/>
    <w:rsid w:val="004F200D"/>
    <w:rsid w:val="00502103"/>
    <w:rsid w:val="00517438"/>
    <w:rsid w:val="005175D5"/>
    <w:rsid w:val="0053255A"/>
    <w:rsid w:val="00540F21"/>
    <w:rsid w:val="0054148B"/>
    <w:rsid w:val="00543D7B"/>
    <w:rsid w:val="0055036E"/>
    <w:rsid w:val="00557285"/>
    <w:rsid w:val="0056396F"/>
    <w:rsid w:val="00566487"/>
    <w:rsid w:val="005701AA"/>
    <w:rsid w:val="0057715C"/>
    <w:rsid w:val="00577AF4"/>
    <w:rsid w:val="00594C72"/>
    <w:rsid w:val="00595516"/>
    <w:rsid w:val="005B0763"/>
    <w:rsid w:val="005B20FA"/>
    <w:rsid w:val="005B6D5B"/>
    <w:rsid w:val="005C08E1"/>
    <w:rsid w:val="005E4003"/>
    <w:rsid w:val="005E6A1F"/>
    <w:rsid w:val="005F764C"/>
    <w:rsid w:val="00600A3D"/>
    <w:rsid w:val="00603BBC"/>
    <w:rsid w:val="006050B9"/>
    <w:rsid w:val="00617F46"/>
    <w:rsid w:val="006405F9"/>
    <w:rsid w:val="00672C7F"/>
    <w:rsid w:val="00696613"/>
    <w:rsid w:val="006A0F02"/>
    <w:rsid w:val="006C125E"/>
    <w:rsid w:val="006D4672"/>
    <w:rsid w:val="006E5428"/>
    <w:rsid w:val="006F0B65"/>
    <w:rsid w:val="00701FBF"/>
    <w:rsid w:val="00707AD1"/>
    <w:rsid w:val="0073191C"/>
    <w:rsid w:val="007355C1"/>
    <w:rsid w:val="00791F4B"/>
    <w:rsid w:val="007D6CF8"/>
    <w:rsid w:val="007E223F"/>
    <w:rsid w:val="00814F58"/>
    <w:rsid w:val="00853ADD"/>
    <w:rsid w:val="0085741B"/>
    <w:rsid w:val="0085745D"/>
    <w:rsid w:val="008627DA"/>
    <w:rsid w:val="00866195"/>
    <w:rsid w:val="0088361D"/>
    <w:rsid w:val="008C2373"/>
    <w:rsid w:val="008C424C"/>
    <w:rsid w:val="008C6BA4"/>
    <w:rsid w:val="008D1BF1"/>
    <w:rsid w:val="008D255A"/>
    <w:rsid w:val="008F5CE0"/>
    <w:rsid w:val="009145D7"/>
    <w:rsid w:val="00925AE1"/>
    <w:rsid w:val="00947058"/>
    <w:rsid w:val="00951D19"/>
    <w:rsid w:val="00955490"/>
    <w:rsid w:val="00981301"/>
    <w:rsid w:val="009851F5"/>
    <w:rsid w:val="0099098A"/>
    <w:rsid w:val="009B1AD2"/>
    <w:rsid w:val="009D20A0"/>
    <w:rsid w:val="009D3CB2"/>
    <w:rsid w:val="009E5B71"/>
    <w:rsid w:val="009F0E97"/>
    <w:rsid w:val="00A42689"/>
    <w:rsid w:val="00A47415"/>
    <w:rsid w:val="00A90116"/>
    <w:rsid w:val="00AC6349"/>
    <w:rsid w:val="00AC76CC"/>
    <w:rsid w:val="00AD36DB"/>
    <w:rsid w:val="00B16458"/>
    <w:rsid w:val="00B23B93"/>
    <w:rsid w:val="00B24CC2"/>
    <w:rsid w:val="00B40C38"/>
    <w:rsid w:val="00B44DC9"/>
    <w:rsid w:val="00B56150"/>
    <w:rsid w:val="00B56AE4"/>
    <w:rsid w:val="00B81707"/>
    <w:rsid w:val="00B875F7"/>
    <w:rsid w:val="00B94518"/>
    <w:rsid w:val="00BB265B"/>
    <w:rsid w:val="00BB7FB7"/>
    <w:rsid w:val="00BC5505"/>
    <w:rsid w:val="00BE61DE"/>
    <w:rsid w:val="00BF5D56"/>
    <w:rsid w:val="00C31E53"/>
    <w:rsid w:val="00C3606B"/>
    <w:rsid w:val="00C40C87"/>
    <w:rsid w:val="00C41D4A"/>
    <w:rsid w:val="00C42F6B"/>
    <w:rsid w:val="00C51D82"/>
    <w:rsid w:val="00C83F0B"/>
    <w:rsid w:val="00C87B97"/>
    <w:rsid w:val="00CA37A0"/>
    <w:rsid w:val="00CB7CF1"/>
    <w:rsid w:val="00CC569A"/>
    <w:rsid w:val="00CC7D9B"/>
    <w:rsid w:val="00CF1192"/>
    <w:rsid w:val="00D0326D"/>
    <w:rsid w:val="00D118A7"/>
    <w:rsid w:val="00D23F14"/>
    <w:rsid w:val="00D37EBE"/>
    <w:rsid w:val="00D77669"/>
    <w:rsid w:val="00D87FA1"/>
    <w:rsid w:val="00D95CC8"/>
    <w:rsid w:val="00DE5EFC"/>
    <w:rsid w:val="00DF0416"/>
    <w:rsid w:val="00E0051A"/>
    <w:rsid w:val="00E11C06"/>
    <w:rsid w:val="00E11C89"/>
    <w:rsid w:val="00E445C7"/>
    <w:rsid w:val="00E62E02"/>
    <w:rsid w:val="00EA0C56"/>
    <w:rsid w:val="00EA4B84"/>
    <w:rsid w:val="00EB05FD"/>
    <w:rsid w:val="00ED385D"/>
    <w:rsid w:val="00ED7D0E"/>
    <w:rsid w:val="00F062D9"/>
    <w:rsid w:val="00F23D64"/>
    <w:rsid w:val="00F36FE4"/>
    <w:rsid w:val="00F64F96"/>
    <w:rsid w:val="00F715CB"/>
    <w:rsid w:val="00F75D16"/>
    <w:rsid w:val="00F870FF"/>
    <w:rsid w:val="00F91064"/>
    <w:rsid w:val="00FA62E5"/>
    <w:rsid w:val="00FB4383"/>
    <w:rsid w:val="00FE04F7"/>
    <w:rsid w:val="00FE621A"/>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E01"/>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C20E-FC51-4A12-A335-002F34B5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Hrvoje Kenjerić</cp:lastModifiedBy>
  <cp:revision>7</cp:revision>
  <cp:lastPrinted>2023-06-01T12:43:00Z</cp:lastPrinted>
  <dcterms:created xsi:type="dcterms:W3CDTF">2025-05-30T06:58:00Z</dcterms:created>
  <dcterms:modified xsi:type="dcterms:W3CDTF">2025-06-03T07:41:00Z</dcterms:modified>
</cp:coreProperties>
</file>