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5000" w:type="pct"/>
        <w:tblLook w:val="0000" w:firstRow="0" w:lastRow="0" w:firstColumn="0" w:lastColumn="0" w:noHBand="0" w:noVBand="0"/>
      </w:tblPr>
      <w:tblGrid>
        <w:gridCol w:w="2499"/>
        <w:gridCol w:w="5371"/>
        <w:gridCol w:w="3236"/>
      </w:tblGrid>
      <w:tr w:rsidR="001851D0" w:rsidRPr="001851D0" w14:paraId="75A471C9" w14:textId="77777777" w:rsidTr="006E7D3B">
        <w:trPr>
          <w:trHeight w:val="1975"/>
        </w:trPr>
        <w:tc>
          <w:tcPr>
            <w:tcW w:w="1125" w:type="pct"/>
          </w:tcPr>
          <w:p w14:paraId="4B490A89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  <w:r>
              <w:rPr>
                <w:rFonts w:ascii="Calibri" w:hAnsi="Calibri"/>
                <w:noProof/>
                <w:color w:val="0D0D0D" w:themeColor="text1" w:themeTint="F2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5" w:type="pct"/>
            <w:gridSpan w:val="2"/>
          </w:tcPr>
          <w:p w14:paraId="4C2615BE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6C1CEA0B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2C4BA7E6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Srbská republika</w:t>
            </w:r>
          </w:p>
          <w:p w14:paraId="6D74FECA" w14:textId="77777777" w:rsidR="00A76DC6" w:rsidRPr="001851D0" w:rsidRDefault="003815E3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Autonómna </w:t>
            </w:r>
            <w:proofErr w:type="spellStart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pokrajina</w:t>
            </w:r>
            <w:proofErr w:type="spellEnd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 Vojvodina</w:t>
            </w:r>
          </w:p>
          <w:p w14:paraId="3C5F7C3A" w14:textId="77777777" w:rsidR="00A76DC6" w:rsidRPr="001851D0" w:rsidRDefault="003815E3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Pokrajinský</w:t>
            </w:r>
            <w:proofErr w:type="spellEnd"/>
            <w: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 xml:space="preserve"> sekretariát vzdelávania, predpisov,</w:t>
            </w:r>
          </w:p>
          <w:p w14:paraId="362D85D4" w14:textId="77777777" w:rsidR="00A76DC6" w:rsidRPr="001851D0" w:rsidRDefault="003815E3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správy a národnostných menšín – národnostných spoločenstiev</w:t>
            </w:r>
          </w:p>
          <w:p w14:paraId="0B73D7CE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Bulvár </w:t>
            </w:r>
            <w:proofErr w:type="spellStart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 xml:space="preserve"> 16, 21 000 Nový Sad</w:t>
            </w:r>
          </w:p>
          <w:p w14:paraId="762ABFBE" w14:textId="663C7F9E" w:rsidR="00A76DC6" w:rsidRPr="001851D0" w:rsidRDefault="008F0F3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T: +381 21 487 44 52</w:t>
            </w:r>
          </w:p>
          <w:p w14:paraId="610AC7EB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ounz@vojvodinа.gov.rs</w:t>
            </w:r>
          </w:p>
        </w:tc>
      </w:tr>
      <w:tr w:rsidR="001851D0" w:rsidRPr="001851D0" w14:paraId="02E817E9" w14:textId="77777777" w:rsidTr="006E7D3B">
        <w:trPr>
          <w:trHeight w:val="305"/>
        </w:trPr>
        <w:tc>
          <w:tcPr>
            <w:tcW w:w="1125" w:type="pct"/>
          </w:tcPr>
          <w:p w14:paraId="40AE300B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2418" w:type="pct"/>
          </w:tcPr>
          <w:p w14:paraId="7575F1EE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48CF32CB" w14:textId="6E4C0970" w:rsidR="00A76DC6" w:rsidRPr="001851D0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ČÍSLO: 000173676 2024 09427 001 001 000 001/1</w:t>
            </w:r>
          </w:p>
          <w:p w14:paraId="4FDC6EFC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57" w:type="pct"/>
          </w:tcPr>
          <w:p w14:paraId="569AA033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05009887" w14:textId="297D4360" w:rsidR="00A76DC6" w:rsidRPr="001851D0" w:rsidRDefault="003815E3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DÁTUM: 07. 11. 2024</w:t>
            </w:r>
          </w:p>
        </w:tc>
      </w:tr>
    </w:tbl>
    <w:p w14:paraId="3B4BE3A9" w14:textId="02C59159" w:rsidR="00A76DC6" w:rsidRPr="001851D0" w:rsidRDefault="003815E3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        Podľa článku 8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parlamentného uznesenia o prideľovaní rozpočtových prostriedkov na financovanie a spolufinancovanie programových aktivít a projektov v oblasti základného a stredného vzdelávania a žiackeho štandardu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(Úradný vestník APV č. 14/2015 a 10/2017), čl. 15, 16, 24 a 37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parlamentného uznesenia o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pokrajinskej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správe (Úradný vestník APV č. 37/14, 54/14 – i. uznesenie, 37/ 2016, 29/17, 24/19, 66/20 a 38/21), článku 7 Pravidiel o pridelení rozpočtových prostriedkov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sekretariátu vzdelávania, predpisov, správy a národnostných menšín – národnostných spoločenstiev na financovanie a spolufinancovanie aktivít, programov a  projektov národnostných rád národnostných menšín v oblasti základného a stredného vzdelávania (Úradný vestník APV číslo 9/16 a 36/17) a na základe realizovaného Súbehu na financovanie a spolufinancovanie aktivít, programov a projektov národnostných rád národnostných menšín v oblasti základného a stredného vzdelávania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na rok 2024 – dotovanie prípravy a tvorby testov a úloh v menšinových jazykoch (Úradný vestník APV č. 43/24),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pokrajinský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tajomník vzdelávania, predpisov, správy a národnostných menšín – národnostných spoločenstiev  v y n á š a </w:t>
      </w:r>
    </w:p>
    <w:p w14:paraId="16834FD0" w14:textId="6AA09BA1" w:rsidR="00A76DC6" w:rsidRPr="001851D0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4699AB5D" w14:textId="77777777" w:rsidR="00A76DC6" w:rsidRPr="001851D0" w:rsidRDefault="003815E3">
      <w:pPr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/>
          <w:color w:val="0D0D0D" w:themeColor="text1" w:themeTint="F2"/>
          <w:sz w:val="22"/>
          <w:szCs w:val="22"/>
        </w:rPr>
        <w:t>ROZHODNUTIE</w:t>
      </w:r>
    </w:p>
    <w:p w14:paraId="65A767C4" w14:textId="42B5A2B0" w:rsidR="00A76DC6" w:rsidRPr="001851D0" w:rsidRDefault="003815E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 xml:space="preserve">О ROZVRHNUTÍ ROZPOČTOVÝCH PROSTRIEDKOV POKRAJINSKÉHO SEKRETARIÁTU VZDELÁVANIA, PREDPISOV, SPRÁVY A NÁRODNOSTNÝCH MENŠÍN – NÁRODNOSTNÝCH SPOLOČENSTIEV NA FINANCOVANIE A SPOLUFINANCOVANIE AKTIVÍT, PROGRAMOV A PROJEKTOV NÁRODNOSTNÝCH RÁD NÁRODNOSTNÝCH MENŠÍN V OBLASTI STREDNÉHO VZDELÁVANIA V AP VOJVODINE NA ROK 2024 </w:t>
      </w:r>
      <w:r>
        <w:rPr>
          <w:rFonts w:asciiTheme="majorHAnsi" w:hAnsiTheme="majorHAnsi"/>
          <w:b/>
          <w:color w:val="0D0D0D" w:themeColor="text1" w:themeTint="F2"/>
          <w:sz w:val="22"/>
          <w:szCs w:val="22"/>
        </w:rPr>
        <w:t xml:space="preserve"> –  DOTOVANIE PRÍPRAVY A VYPRACOVANIA TESTOV A ÚLOH V MENŠINOVÝCH JAZYKOCH</w:t>
      </w:r>
    </w:p>
    <w:p w14:paraId="6244CA54" w14:textId="15D53094" w:rsidR="00A76DC6" w:rsidRPr="001851D0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I.</w:t>
      </w:r>
    </w:p>
    <w:p w14:paraId="6497D6A3" w14:textId="357ED303" w:rsidR="00A76DC6" w:rsidRPr="001851D0" w:rsidRDefault="003815E3" w:rsidP="008F0F33">
      <w:pPr>
        <w:spacing w:after="12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        Týmto rozhodnutím sa určuje rozvrhnutie rozpočtových prostriedkov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Pokrajinského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sekretariátu vzdelávania, predpisov, správy a národnostných menšín – národnostných spoločenstiev (ďalej: sekretariát) v rámci Súbehu na financovanie a spolufinancovanie aktivít, programov a projektov národnostných rád národnostných menšín v oblasti základného a stredného vzdelávania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na rok 2024 – dotovanie prípravy a vypracovania testov a úloh v menšinových jazykoch číslo: 000173676 2024 09427 001 001 000 001 zo dňa 27. 9. 2024 (ďalej: súbeh) v oblasti základného vzdelávania. </w:t>
      </w:r>
    </w:p>
    <w:p w14:paraId="30121F6E" w14:textId="7E6A78A3" w:rsidR="00A76DC6" w:rsidRPr="001851D0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II.</w:t>
      </w:r>
    </w:p>
    <w:p w14:paraId="424C8E3C" w14:textId="045E4156" w:rsidR="00A76DC6" w:rsidRPr="001851D0" w:rsidRDefault="00A14A41" w:rsidP="008F0F33">
      <w:pPr>
        <w:spacing w:after="120"/>
        <w:ind w:firstLine="36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Finančné prostriedky určené súbehom v oblasti základného vzdelávania pre aktivity, programy a projekty – dotácia prípravy a vypracovania testov a úloh z jazykov menšín sú vo výške 700 000,00 dinárov a týmto rozhodnutím sú vyčlenené prostriedky vo výške 700 000,00 dinárov.</w:t>
      </w:r>
    </w:p>
    <w:p w14:paraId="2EFD306C" w14:textId="5D668337" w:rsidR="006E7D3B" w:rsidRPr="001851D0" w:rsidRDefault="00A14A41" w:rsidP="008F0F33">
      <w:pPr>
        <w:spacing w:after="12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Prostriedky sa schvaľujú národnostným radám národnostných menšín (ďalej len: užívatelia) v súlade s predloženou tabuľkou číslo 1.</w:t>
      </w:r>
    </w:p>
    <w:p w14:paraId="156C03C5" w14:textId="77777777" w:rsidR="008F0F33" w:rsidRPr="001851D0" w:rsidRDefault="008F0F33">
      <w:pPr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  <w:r>
        <w:br w:type="page"/>
      </w:r>
    </w:p>
    <w:p w14:paraId="4CC5D92F" w14:textId="61F1D457" w:rsidR="006A4080" w:rsidRPr="001851D0" w:rsidRDefault="006A4080" w:rsidP="006A4080">
      <w:pPr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lastRenderedPageBreak/>
        <w:t xml:space="preserve">Tabuľka číslo 1: Rozvrhnutie prostriedkov v rámci Súbehu na financovanie a spolufinancovanie aktivít, programov a projektov národnostných rád národnostných menšín v oblasti základného a stredného vzdelávania v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pokrajine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Vojvodine na rok 2024 – dotovanie prípravy a vypracovania testov a úloh v menšinových jazykoch v oblasti základného vzdelávania</w:t>
      </w:r>
    </w:p>
    <w:p w14:paraId="5D29B604" w14:textId="77777777" w:rsidR="006A4080" w:rsidRPr="001851D0" w:rsidRDefault="006A4080" w:rsidP="006A4080">
      <w:pPr>
        <w:ind w:left="643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6551"/>
        <w:gridCol w:w="3076"/>
      </w:tblGrid>
      <w:tr w:rsidR="001851D0" w:rsidRPr="001851D0" w14:paraId="0E8C839A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99A62A0" w14:textId="77777777" w:rsidR="006A4080" w:rsidRPr="001851D0" w:rsidRDefault="006A4080" w:rsidP="006E7D3B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Poradové číslo</w:t>
            </w:r>
          </w:p>
        </w:tc>
        <w:tc>
          <w:tcPr>
            <w:tcW w:w="2952" w:type="pct"/>
            <w:shd w:val="clear" w:color="auto" w:fill="auto"/>
            <w:noWrap/>
            <w:vAlign w:val="bottom"/>
          </w:tcPr>
          <w:p w14:paraId="42C67D8D" w14:textId="77777777" w:rsidR="006A4080" w:rsidRPr="001851D0" w:rsidRDefault="006A4080" w:rsidP="006E7D3B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Národnostná rada</w:t>
            </w:r>
          </w:p>
          <w:p w14:paraId="53CB5380" w14:textId="77777777" w:rsidR="006A4080" w:rsidRPr="001851D0" w:rsidRDefault="006A4080" w:rsidP="006E7D3B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  <w:tc>
          <w:tcPr>
            <w:tcW w:w="1386" w:type="pct"/>
            <w:shd w:val="clear" w:color="auto" w:fill="auto"/>
            <w:vAlign w:val="bottom"/>
          </w:tcPr>
          <w:p w14:paraId="0EC10763" w14:textId="0334E278" w:rsidR="006A4080" w:rsidRPr="001851D0" w:rsidRDefault="009D68FA" w:rsidP="009D68FA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Suma</w:t>
            </w:r>
          </w:p>
          <w:p w14:paraId="3A4F4811" w14:textId="5DDD05D0" w:rsidR="009D68FA" w:rsidRPr="001851D0" w:rsidRDefault="009D68FA" w:rsidP="009D68FA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</w:tr>
      <w:tr w:rsidR="001851D0" w:rsidRPr="001851D0" w14:paraId="1762EBAD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3FA1731A" w14:textId="77777777" w:rsidR="006A4080" w:rsidRPr="001851D0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2FC98337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Národnostná rada maďarskej národnostnej menšiny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60BB957E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199 681,71</w:t>
            </w:r>
          </w:p>
        </w:tc>
      </w:tr>
      <w:tr w:rsidR="001851D0" w:rsidRPr="001851D0" w14:paraId="4D36AF1E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8F80AB6" w14:textId="77777777" w:rsidR="006A4080" w:rsidRPr="001851D0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2.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6EBFD12A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Národnostná rada rumunskej národnostnej menšiny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4FC82B6C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138 761,00</w:t>
            </w:r>
          </w:p>
        </w:tc>
      </w:tr>
      <w:tr w:rsidR="001851D0" w:rsidRPr="001851D0" w14:paraId="6A823FE5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5E8E66B" w14:textId="77777777" w:rsidR="006A4080" w:rsidRPr="001851D0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3.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12DC6C84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Národnostná rada rusínskej národnostnej menšiny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2D3BCF08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121 399,73</w:t>
            </w:r>
          </w:p>
        </w:tc>
      </w:tr>
      <w:tr w:rsidR="001851D0" w:rsidRPr="001851D0" w14:paraId="48F1E15F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21DA13CD" w14:textId="77777777" w:rsidR="006A4080" w:rsidRPr="001851D0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4.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4636709F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Národnostná rada slovenskej národnostnej menšiny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318B52BD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118 694,90</w:t>
            </w:r>
          </w:p>
        </w:tc>
      </w:tr>
      <w:tr w:rsidR="001851D0" w:rsidRPr="001851D0" w14:paraId="4ADEE625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025FC2A5" w14:textId="77777777" w:rsidR="006A4080" w:rsidRPr="001851D0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5.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2EBAF235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Národnostná rada chorvátskej národnostnej menšiny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54EAB2EC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121 462,66</w:t>
            </w:r>
          </w:p>
        </w:tc>
      </w:tr>
      <w:tr w:rsidR="006A4080" w:rsidRPr="001851D0" w14:paraId="453FEE38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642FEE2F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  <w:tc>
          <w:tcPr>
            <w:tcW w:w="2952" w:type="pct"/>
            <w:shd w:val="clear" w:color="auto" w:fill="auto"/>
            <w:noWrap/>
            <w:vAlign w:val="bottom"/>
          </w:tcPr>
          <w:p w14:paraId="1DD16BA0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Spolu: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061A97D8" w14:textId="77777777" w:rsidR="006A4080" w:rsidRPr="001851D0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700 000,00</w:t>
            </w:r>
          </w:p>
        </w:tc>
      </w:tr>
    </w:tbl>
    <w:p w14:paraId="44F3C43F" w14:textId="77777777" w:rsidR="008F0F33" w:rsidRPr="001851D0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35F28C40" w14:textId="17E4F0BA" w:rsidR="00A76DC6" w:rsidRPr="001851D0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III.</w:t>
      </w:r>
    </w:p>
    <w:p w14:paraId="067F1CFC" w14:textId="508ED702" w:rsidR="00A76DC6" w:rsidRPr="001851D0" w:rsidRDefault="006A4080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 w:firstLine="36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 Prostriedky z bodu II. tohto rozhodnutia sú určené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Pokrajinským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pokrajiny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Vojvodiny na rok 2024 (Úradný vestník APV č. 45/23 a 37/2024 – opätovná bilancia) v rámci oddielu 06 – </w:t>
      </w:r>
      <w:proofErr w:type="spellStart"/>
      <w:r>
        <w:rPr>
          <w:rFonts w:asciiTheme="majorHAnsi" w:hAnsiTheme="majorHAnsi"/>
          <w:color w:val="0D0D0D" w:themeColor="text1" w:themeTint="F2"/>
          <w:sz w:val="22"/>
          <w:szCs w:val="22"/>
        </w:rPr>
        <w:t>Pokrajinský</w:t>
      </w:r>
      <w:proofErr w:type="spellEnd"/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 sekretariát vzdelávania, predpisov, správy a národnostných menšín – národnostných spoločenstiev, Program 2003 – Základné vzdelávanie, Programová aktivita 1004 – Zvyšovanie kvality základného vzdelávania, Funkčná klasifikácia 910, zdroj financovania 01 00 – Všeobecné príjmy a príjmy rozpočtu, ekonomická klasifikácia 4819 – Dotácie iným neziskovým inštitúciám a prevádzajú sa užívateľom v súlade s prílevom finančných prostriedkov do rozpočtu AP Vojvodiny, resp. likvidná možnosť rozpočtu.</w:t>
      </w:r>
    </w:p>
    <w:p w14:paraId="483E43DB" w14:textId="6A59ED98" w:rsidR="00A76DC6" w:rsidRPr="001851D0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IV.</w:t>
      </w:r>
    </w:p>
    <w:p w14:paraId="17BE09BE" w14:textId="2C439242" w:rsidR="00A76DC6" w:rsidRPr="001851D0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Užívatelia sú povinní pri realizácii účelu, na ktorý boli prostriedky pridelené, postupovať v súlade s ustanoveniami Zákona o verejnom obstarávaní.</w:t>
      </w:r>
    </w:p>
    <w:p w14:paraId="0CBE5E8E" w14:textId="2AB252C2" w:rsidR="006E7D3B" w:rsidRPr="001851D0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V.</w:t>
      </w:r>
    </w:p>
    <w:p w14:paraId="440BAB8A" w14:textId="3ABBCDC6" w:rsidR="00A76DC6" w:rsidRPr="001851D0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Rozhodnutie o pridelení finančných prostriedkov sa uverejní na internetovom sídle sekretariátu.</w:t>
      </w:r>
    </w:p>
    <w:p w14:paraId="7D6E6C59" w14:textId="39F8E696" w:rsidR="006E7D3B" w:rsidRPr="001851D0" w:rsidRDefault="008F0F33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VI.</w:t>
      </w:r>
    </w:p>
    <w:p w14:paraId="0790038D" w14:textId="68889CAB" w:rsidR="00A76DC6" w:rsidRPr="001851D0" w:rsidRDefault="006E7D3B" w:rsidP="008F0F33">
      <w:pPr>
        <w:tabs>
          <w:tab w:val="left" w:pos="567"/>
          <w:tab w:val="left" w:pos="5040"/>
        </w:tabs>
        <w:spacing w:after="120"/>
        <w:ind w:right="102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 xml:space="preserve">Sekretariát prevezme záväzok voči užívateľom </w:t>
      </w:r>
      <w:r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písomn</w:t>
      </w:r>
      <w:r w:rsidR="005938EE"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ou</w:t>
      </w:r>
      <w:r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 xml:space="preserve"> zmluv</w:t>
      </w:r>
      <w:r w:rsidR="005938EE"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ou</w:t>
      </w:r>
      <w:r>
        <w:rPr>
          <w:rFonts w:asciiTheme="majorHAnsi" w:hAnsiTheme="majorHAnsi"/>
          <w:color w:val="0D0D0D" w:themeColor="text1" w:themeTint="F2"/>
          <w:sz w:val="22"/>
          <w:szCs w:val="22"/>
        </w:rPr>
        <w:t>.</w:t>
      </w:r>
      <w:r>
        <w:rPr>
          <w:rFonts w:asciiTheme="majorHAnsi" w:hAnsiTheme="majorHAnsi"/>
          <w:b/>
          <w:color w:val="0D0D0D" w:themeColor="text1" w:themeTint="F2"/>
          <w:sz w:val="22"/>
          <w:szCs w:val="22"/>
        </w:rPr>
        <w:t xml:space="preserve"> </w:t>
      </w:r>
    </w:p>
    <w:p w14:paraId="303B6C90" w14:textId="725306EA" w:rsidR="006E7D3B" w:rsidRPr="001851D0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VII.</w:t>
      </w:r>
    </w:p>
    <w:p w14:paraId="79FC91AA" w14:textId="707F6E25" w:rsidR="00A76DC6" w:rsidRPr="001851D0" w:rsidRDefault="003815E3" w:rsidP="008F0F33">
      <w:pPr>
        <w:pBdr>
          <w:top w:val="nil"/>
          <w:left w:val="nil"/>
          <w:bottom w:val="nil"/>
          <w:right w:val="nil"/>
          <w:between w:val="nil"/>
        </w:pBdr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Toto rozhodnutie je konečné a nemožno proti nemu podať opravný prostriedok.</w:t>
      </w:r>
    </w:p>
    <w:p w14:paraId="774DD564" w14:textId="68712D82" w:rsidR="006E7D3B" w:rsidRPr="001851D0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>VIII.</w:t>
      </w:r>
    </w:p>
    <w:p w14:paraId="1C15C4DB" w14:textId="144EEB5A" w:rsidR="00A76DC6" w:rsidRPr="001851D0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ab/>
        <w:t>Za výkon tohto rozhodnutia je zodpovedný Sektor pre hmotno-finančné úkony sekretariátu.</w:t>
      </w:r>
    </w:p>
    <w:p w14:paraId="3E5258BD" w14:textId="6F05CC79" w:rsidR="00A76DC6" w:rsidRPr="001851D0" w:rsidRDefault="00A76DC6" w:rsidP="006E7D3B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78F10083" w14:textId="73BF3488" w:rsidR="009311D2" w:rsidRPr="001851D0" w:rsidRDefault="003815E3">
      <w:pPr>
        <w:jc w:val="both"/>
        <w:rPr>
          <w:rFonts w:asciiTheme="majorHAnsi" w:eastAsia="Calibri" w:hAnsiTheme="majorHAnsi" w:cstheme="majorHAnsi"/>
          <w:bCs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bCs/>
          <w:color w:val="0D0D0D" w:themeColor="text1" w:themeTint="F2"/>
          <w:sz w:val="22"/>
          <w:szCs w:val="22"/>
        </w:rPr>
        <w:t>Rozhodnutie doručiť:</w:t>
      </w:r>
    </w:p>
    <w:p w14:paraId="50AD94E7" w14:textId="5AADCD94" w:rsidR="00A76DC6" w:rsidRPr="001851D0" w:rsidRDefault="003815E3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color w:val="0D0D0D" w:themeColor="text1" w:themeTint="F2"/>
          <w:sz w:val="22"/>
          <w:szCs w:val="22"/>
        </w:rPr>
        <w:t>Sektoru materiálno-finančných úkonov sekretariátu.</w:t>
      </w:r>
    </w:p>
    <w:p w14:paraId="2E3650BD" w14:textId="7FEBD68A" w:rsidR="00A76DC6" w:rsidRPr="001851D0" w:rsidRDefault="003815E3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rFonts w:asciiTheme="majorHAnsi" w:hAnsiTheme="majorHAnsi"/>
          <w:color w:val="0D0D0D" w:themeColor="text1" w:themeTint="F2"/>
          <w:sz w:val="22"/>
          <w:szCs w:val="22"/>
        </w:rPr>
        <w:t xml:space="preserve">Archívu  </w:t>
      </w:r>
    </w:p>
    <w:p w14:paraId="74C42EEF" w14:textId="7258CFD4" w:rsidR="00A76DC6" w:rsidRPr="001851D0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5498395" w14:textId="58B4810E" w:rsidR="00A76DC6" w:rsidRPr="001851D0" w:rsidRDefault="008F0F33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>
        <w:rPr>
          <w:noProof/>
          <w:color w:val="0D0D0D" w:themeColor="text1" w:themeTint="F2"/>
          <w:lang w:val="en-U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EE2A776" wp14:editId="3443671A">
                <wp:simplePos x="0" y="0"/>
                <wp:positionH relativeFrom="column">
                  <wp:posOffset>4224655</wp:posOffset>
                </wp:positionH>
                <wp:positionV relativeFrom="paragraph">
                  <wp:posOffset>147955</wp:posOffset>
                </wp:positionV>
                <wp:extent cx="2360930" cy="1404620"/>
                <wp:effectExtent l="0" t="0" r="19685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C30F" w14:textId="77777777" w:rsidR="006E7D3B" w:rsidRPr="006E7D3B" w:rsidRDefault="006E7D3B" w:rsidP="006E7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POKRAJINSKÝ TAJOMNÍK</w:t>
                            </w:r>
                          </w:p>
                          <w:p w14:paraId="146577D4" w14:textId="77777777" w:rsidR="005938EE" w:rsidRDefault="005938EE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</w:p>
                          <w:p w14:paraId="7BA3F5AE" w14:textId="021FAE11" w:rsidR="006E7D3B" w:rsidRPr="006E7D3B" w:rsidRDefault="006E7D3B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Róbert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Ótott</w:t>
                            </w:r>
                            <w:proofErr w:type="spellEnd"/>
                          </w:p>
                          <w:p w14:paraId="5C150F3E" w14:textId="5BEF3060" w:rsidR="006E7D3B" w:rsidRPr="006E7D3B" w:rsidRDefault="006E7D3B" w:rsidP="006E7D3B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spacing w:after="280"/>
                              <w:ind w:right="-12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2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65pt;margin-top:11.65pt;width:185.9pt;height:110.6pt;z-index:2516597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" strokecolor="white [3212]">
                <v:textbox style="mso-fit-shape-to-text:t">
                  <w:txbxContent>
                    <w:p w14:paraId="630CC30F" w14:textId="77777777" w:rsidR="006E7D3B" w:rsidRPr="006E7D3B" w:rsidRDefault="006E7D3B" w:rsidP="006E7D3B">
                      <w:pPr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>POKRAJINSKÝ TAJOMNÍK</w:t>
                      </w:r>
                    </w:p>
                    <w:p w14:paraId="146577D4" w14:textId="77777777" w:rsidR="005938EE" w:rsidRDefault="005938EE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rFonts w:asciiTheme="majorHAnsi" w:hAnsiTheme="majorHAnsi"/>
                          <w:sz w:val="22"/>
                        </w:rPr>
                      </w:pPr>
                    </w:p>
                    <w:p w14:paraId="7BA3F5AE" w14:textId="021FAE11" w:rsidR="006E7D3B" w:rsidRPr="006E7D3B" w:rsidRDefault="006E7D3B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Róbert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2"/>
                        </w:rPr>
                        <w:t>Ótott</w:t>
                      </w:r>
                      <w:proofErr w:type="spellEnd"/>
                    </w:p>
                    <w:p w14:paraId="5C150F3E" w14:textId="5BEF3060" w:rsidR="006E7D3B" w:rsidRPr="006E7D3B" w:rsidRDefault="006E7D3B" w:rsidP="006E7D3B">
                      <w:pPr>
                        <w:tabs>
                          <w:tab w:val="left" w:pos="0"/>
                          <w:tab w:val="left" w:pos="1080"/>
                        </w:tabs>
                        <w:spacing w:after="280"/>
                        <w:ind w:right="-12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49AF3E" w14:textId="0904BD8E" w:rsidR="00A76DC6" w:rsidRPr="001851D0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9F6E15D" w14:textId="2E07820F" w:rsidR="00A76DC6" w:rsidRPr="001851D0" w:rsidRDefault="00A76DC6">
      <w:pPr>
        <w:jc w:val="both"/>
        <w:rPr>
          <w:rFonts w:asciiTheme="majorHAnsi" w:eastAsia="Calibri" w:hAnsiTheme="majorHAnsi" w:cstheme="majorHAnsi"/>
          <w:b/>
          <w:bCs/>
          <w:color w:val="0D0D0D" w:themeColor="text1" w:themeTint="F2"/>
          <w:sz w:val="22"/>
          <w:szCs w:val="22"/>
        </w:rPr>
      </w:pPr>
    </w:p>
    <w:sectPr w:rsidR="00A76DC6" w:rsidRPr="001851D0" w:rsidSect="008F0F33">
      <w:headerReference w:type="even" r:id="rId8"/>
      <w:headerReference w:type="default" r:id="rId9"/>
      <w:pgSz w:w="12240" w:h="15840"/>
      <w:pgMar w:top="851" w:right="567" w:bottom="851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375B8" w14:textId="77777777" w:rsidR="004B3151" w:rsidRDefault="004B3151">
      <w:r>
        <w:separator/>
      </w:r>
    </w:p>
  </w:endnote>
  <w:endnote w:type="continuationSeparator" w:id="0">
    <w:p w14:paraId="1BF8329F" w14:textId="77777777" w:rsidR="004B3151" w:rsidRDefault="004B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A3027" w14:textId="77777777" w:rsidR="004B3151" w:rsidRDefault="004B3151">
      <w:r>
        <w:separator/>
      </w:r>
    </w:p>
  </w:footnote>
  <w:footnote w:type="continuationSeparator" w:id="0">
    <w:p w14:paraId="6FA37865" w14:textId="77777777" w:rsidR="004B3151" w:rsidRDefault="004B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7564D38C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A09701F"/>
    <w:multiLevelType w:val="hybridMultilevel"/>
    <w:tmpl w:val="135292A8"/>
    <w:lvl w:ilvl="0" w:tplc="2B023C3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355E"/>
    <w:rsid w:val="00025B07"/>
    <w:rsid w:val="00026E11"/>
    <w:rsid w:val="00032C8D"/>
    <w:rsid w:val="00086329"/>
    <w:rsid w:val="000C2786"/>
    <w:rsid w:val="00101382"/>
    <w:rsid w:val="00166031"/>
    <w:rsid w:val="00181021"/>
    <w:rsid w:val="00183476"/>
    <w:rsid w:val="001851D0"/>
    <w:rsid w:val="00192A7D"/>
    <w:rsid w:val="001A6C23"/>
    <w:rsid w:val="001B5100"/>
    <w:rsid w:val="001D59E1"/>
    <w:rsid w:val="001D7AC1"/>
    <w:rsid w:val="001F437B"/>
    <w:rsid w:val="001F5DC3"/>
    <w:rsid w:val="0021567A"/>
    <w:rsid w:val="00251886"/>
    <w:rsid w:val="00294F4B"/>
    <w:rsid w:val="002D7496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4B3151"/>
    <w:rsid w:val="00547E75"/>
    <w:rsid w:val="005938EE"/>
    <w:rsid w:val="005A464B"/>
    <w:rsid w:val="005C5305"/>
    <w:rsid w:val="00630048"/>
    <w:rsid w:val="00651851"/>
    <w:rsid w:val="00655172"/>
    <w:rsid w:val="00657F79"/>
    <w:rsid w:val="0066746D"/>
    <w:rsid w:val="00675382"/>
    <w:rsid w:val="006A4080"/>
    <w:rsid w:val="006C3C5C"/>
    <w:rsid w:val="006E46F2"/>
    <w:rsid w:val="006E7D3B"/>
    <w:rsid w:val="006F0806"/>
    <w:rsid w:val="006F2E3B"/>
    <w:rsid w:val="006F3D68"/>
    <w:rsid w:val="0072741A"/>
    <w:rsid w:val="00732D26"/>
    <w:rsid w:val="0073586B"/>
    <w:rsid w:val="00786DC0"/>
    <w:rsid w:val="007A37F9"/>
    <w:rsid w:val="007C6FED"/>
    <w:rsid w:val="007E418B"/>
    <w:rsid w:val="007F7AC2"/>
    <w:rsid w:val="00806740"/>
    <w:rsid w:val="00821BF5"/>
    <w:rsid w:val="00830130"/>
    <w:rsid w:val="00857C5A"/>
    <w:rsid w:val="00886EB3"/>
    <w:rsid w:val="008971A2"/>
    <w:rsid w:val="008B0146"/>
    <w:rsid w:val="008B7CA7"/>
    <w:rsid w:val="008F0F33"/>
    <w:rsid w:val="009200E3"/>
    <w:rsid w:val="00920D81"/>
    <w:rsid w:val="009311D2"/>
    <w:rsid w:val="0093285E"/>
    <w:rsid w:val="009D1DB4"/>
    <w:rsid w:val="009D68FA"/>
    <w:rsid w:val="009F182D"/>
    <w:rsid w:val="00A14A41"/>
    <w:rsid w:val="00A277BF"/>
    <w:rsid w:val="00A378FA"/>
    <w:rsid w:val="00A5507D"/>
    <w:rsid w:val="00A76DC6"/>
    <w:rsid w:val="00A92818"/>
    <w:rsid w:val="00AF4881"/>
    <w:rsid w:val="00AF73AB"/>
    <w:rsid w:val="00B159E3"/>
    <w:rsid w:val="00BB0DB1"/>
    <w:rsid w:val="00BD3715"/>
    <w:rsid w:val="00BE44CD"/>
    <w:rsid w:val="00C5137F"/>
    <w:rsid w:val="00CE6E20"/>
    <w:rsid w:val="00D23B28"/>
    <w:rsid w:val="00D73986"/>
    <w:rsid w:val="00DA4207"/>
    <w:rsid w:val="00DC51AB"/>
    <w:rsid w:val="00E34295"/>
    <w:rsid w:val="00E505A9"/>
    <w:rsid w:val="00E9089A"/>
    <w:rsid w:val="00E97C89"/>
    <w:rsid w:val="00EF663D"/>
    <w:rsid w:val="00F0125F"/>
    <w:rsid w:val="00F02249"/>
    <w:rsid w:val="00F8579E"/>
    <w:rsid w:val="00F90479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7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33"/>
  </w:style>
  <w:style w:type="paragraph" w:styleId="Header">
    <w:name w:val="header"/>
    <w:basedOn w:val="Normal"/>
    <w:link w:val="Head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Zdenka Valent</cp:lastModifiedBy>
  <cp:revision>3</cp:revision>
  <cp:lastPrinted>2024-11-07T11:19:00Z</cp:lastPrinted>
  <dcterms:created xsi:type="dcterms:W3CDTF">2024-11-07T12:09:00Z</dcterms:created>
  <dcterms:modified xsi:type="dcterms:W3CDTF">2024-11-07T13:24:00Z</dcterms:modified>
</cp:coreProperties>
</file>