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4046"/>
        <w:gridCol w:w="5229"/>
      </w:tblGrid>
      <w:tr w:rsidR="00A76DC6" w14:paraId="75A471C9" w14:textId="77777777" w:rsidTr="001B5100">
        <w:trPr>
          <w:trHeight w:val="1975"/>
        </w:trPr>
        <w:tc>
          <w:tcPr>
            <w:tcW w:w="2693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Srbská republika</w:t>
            </w:r>
          </w:p>
          <w:p w14:paraId="6D74FEC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Autonómna pokrajina Vojvodina</w:t>
            </w:r>
          </w:p>
          <w:p w14:paraId="3C5F7C3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Pokrajinský sekretariát vzdelávania, predpisov,</w:t>
            </w:r>
          </w:p>
          <w:p w14:paraId="362D85D4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správy a národnostných menšín – národnostných spoločenstiev</w:t>
            </w:r>
          </w:p>
          <w:p w14:paraId="0B73D7C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Bulvár Mihajla Pupina 16, 21 000 Nový Sad</w:t>
            </w:r>
          </w:p>
          <w:p w14:paraId="762ABFB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21 487 42 62, +381 21 487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ounz@vojvodina.gov.rs</w:t>
            </w:r>
          </w:p>
        </w:tc>
      </w:tr>
      <w:tr w:rsidR="00A76DC6" w:rsidRPr="005A464B" w14:paraId="02E817E9" w14:textId="77777777" w:rsidTr="001B5100">
        <w:trPr>
          <w:trHeight w:val="305"/>
        </w:trPr>
        <w:tc>
          <w:tcPr>
            <w:tcW w:w="2693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046" w:type="dxa"/>
          </w:tcPr>
          <w:p w14:paraId="7575F1EE" w14:textId="77777777" w:rsidR="00A76DC6" w:rsidRPr="00DC51AB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2319289C" w:rsidR="00A76DC6" w:rsidRPr="00DC51AB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ČÍSLO: </w:t>
            </w:r>
            <w:r>
              <w:rPr>
                <w:rFonts w:ascii="Calibri" w:hAnsi="Calibri"/>
                <w:sz w:val="20"/>
                <w:szCs w:val="20"/>
              </w:rPr>
              <w:t>000173676 2024 09427 001 001 000 001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229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49E5E306" w:rsidR="00A76DC6" w:rsidRDefault="003815E3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DÁTUM: 15.</w:t>
            </w:r>
            <w:r w:rsidR="004B25C9">
              <w:rPr>
                <w:rFonts w:ascii="Calibri" w:hAnsi="Calibri"/>
                <w:sz w:val="20"/>
                <w:szCs w:val="20"/>
              </w:rPr>
              <w:t xml:space="preserve"> 0</w:t>
            </w:r>
            <w:r>
              <w:rPr>
                <w:rFonts w:ascii="Calibri" w:hAnsi="Calibri"/>
                <w:sz w:val="20"/>
                <w:szCs w:val="20"/>
              </w:rPr>
              <w:t>4.</w:t>
            </w:r>
            <w:r w:rsidR="004B25C9">
              <w:rPr>
                <w:rFonts w:ascii="Calibri" w:hAnsi="Calibri"/>
                <w:sz w:val="20"/>
                <w:szCs w:val="20"/>
              </w:rPr>
              <w:t xml:space="preserve"> 2024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10BA5D08" w:rsidR="00A76DC6" w:rsidRPr="00657F79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Podľa článku 16 odseky 5 a 24 odsek 2 Pokrajinského parlamentného uznesenia o pokrajinskej správe (Úradný vestník APV č. 3</w:t>
      </w:r>
      <w:r w:rsidR="004B25C9">
        <w:rPr>
          <w:rFonts w:ascii="Calibri" w:hAnsi="Calibri"/>
          <w:sz w:val="20"/>
          <w:szCs w:val="20"/>
        </w:rPr>
        <w:t>7/14, 54/14 – i. uznesenie, 37/</w:t>
      </w:r>
      <w:r>
        <w:rPr>
          <w:rFonts w:ascii="Calibri" w:hAnsi="Calibri"/>
          <w:sz w:val="20"/>
          <w:szCs w:val="20"/>
        </w:rPr>
        <w:t xml:space="preserve">2016, 29/17, 24/19, 66/2020 a 38/21), článku 8 Pokrajinského parlamentného uznesenia o prideľovaní rozpočtových prostriedkov na financovanie a spolufinancovanie programových aktivít </w:t>
      </w:r>
      <w:r w:rsidR="005A1C26">
        <w:rPr>
          <w:rFonts w:ascii="Calibri" w:hAnsi="Calibri"/>
          <w:sz w:val="20"/>
          <w:szCs w:val="20"/>
        </w:rPr>
        <w:t>a projektov v oblasti základnej</w:t>
      </w:r>
      <w:r>
        <w:rPr>
          <w:rFonts w:ascii="Calibri" w:hAnsi="Calibri"/>
          <w:sz w:val="20"/>
          <w:szCs w:val="20"/>
        </w:rPr>
        <w:t xml:space="preserve"> a</w:t>
      </w:r>
      <w:r w:rsidR="005A1C26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stredn</w:t>
      </w:r>
      <w:r w:rsidR="005A1C26">
        <w:rPr>
          <w:rFonts w:ascii="Calibri" w:hAnsi="Calibri"/>
          <w:sz w:val="20"/>
          <w:szCs w:val="20"/>
        </w:rPr>
        <w:t>ej výchovy a</w:t>
      </w:r>
      <w:r>
        <w:rPr>
          <w:rFonts w:ascii="Calibri" w:hAnsi="Calibri"/>
          <w:sz w:val="20"/>
          <w:szCs w:val="20"/>
        </w:rPr>
        <w:t xml:space="preserve"> vzdelávania a žiackeho štandardu v Autonómnej pokrajine Vojvodine (Úradný vestník APV č. 14/2015 a 10/2017), čl. 11 a 23 odsek 1 a 4 Pokrajinského parlamentného uznesenia o rozpočte Autonómnej pokrajiny Vojvodiny na rok 2024 (Úradný vestník APV č. 45/23), článku 9 Pravidiel o podmienkach náhrady nákladov prepravy žiakov </w:t>
      </w:r>
      <w:r w:rsidR="004B25C9">
        <w:rPr>
          <w:rFonts w:ascii="Calibri" w:hAnsi="Calibri"/>
          <w:sz w:val="20"/>
          <w:szCs w:val="20"/>
        </w:rPr>
        <w:t>stredných škôl v AP Vojvodiny (</w:t>
      </w:r>
      <w:r>
        <w:rPr>
          <w:rFonts w:ascii="Calibri" w:hAnsi="Calibri"/>
          <w:sz w:val="20"/>
          <w:szCs w:val="20"/>
        </w:rPr>
        <w:t>Úradný vestník APV č. 7/2</w:t>
      </w:r>
      <w:r w:rsidR="004B25C9">
        <w:rPr>
          <w:rFonts w:ascii="Calibri" w:hAnsi="Calibri"/>
          <w:sz w:val="20"/>
          <w:szCs w:val="20"/>
        </w:rPr>
        <w:t>3 a 5/24) a po ukončení S</w:t>
      </w:r>
      <w:r>
        <w:rPr>
          <w:rFonts w:ascii="Calibri" w:hAnsi="Calibri"/>
          <w:sz w:val="20"/>
          <w:szCs w:val="20"/>
        </w:rPr>
        <w:t xml:space="preserve">úbehu na úhradu nákladov prepravy </w:t>
      </w:r>
      <w:r w:rsidR="005A1C26">
        <w:rPr>
          <w:rFonts w:ascii="Calibri" w:hAnsi="Calibri"/>
          <w:sz w:val="20"/>
          <w:szCs w:val="20"/>
        </w:rPr>
        <w:t>stredoškolákov v Au</w:t>
      </w:r>
      <w:r>
        <w:rPr>
          <w:rFonts w:ascii="Calibri" w:hAnsi="Calibri"/>
          <w:sz w:val="20"/>
          <w:szCs w:val="20"/>
        </w:rPr>
        <w:t xml:space="preserve">tonómnej pokrajine Vojvodine v roku 2024 (Úradný vestník APV č. 8/24), pokrajinský tajomník vzdelávania, predpisov, správy a národnostných menšín – národnostných spoločenstiev vynáša </w:t>
      </w:r>
    </w:p>
    <w:p w14:paraId="6969AF9F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ROZHODNUTIE</w:t>
      </w:r>
    </w:p>
    <w:p w14:paraId="104FEF99" w14:textId="7849CE91" w:rsidR="00A76DC6" w:rsidRPr="005A464B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 ROZDELENÍ ROZPOČTOVÝCH PROSTRIEDKOV POKRAJINSKÉHO SEKRETARIÁTU VZDELÁVANIA, PREDPISOV, SPRÁVY A NÁRODNOSTNÝCH MENŠÍN </w:t>
      </w:r>
      <w:r w:rsidR="004B25C9">
        <w:rPr>
          <w:rFonts w:ascii="Calibri" w:hAnsi="Calibri"/>
          <w:b/>
          <w:sz w:val="20"/>
          <w:szCs w:val="20"/>
        </w:rPr>
        <w:t>–</w:t>
      </w:r>
      <w:r>
        <w:rPr>
          <w:rFonts w:ascii="Calibri" w:hAnsi="Calibri"/>
          <w:b/>
          <w:sz w:val="20"/>
          <w:szCs w:val="20"/>
        </w:rPr>
        <w:t xml:space="preserve"> NÁRODNOSTNÝCH SPOLOČENSTIEV </w:t>
      </w:r>
      <w:r w:rsidR="005A1C26">
        <w:rPr>
          <w:rFonts w:ascii="Calibri" w:hAnsi="Calibri"/>
          <w:b/>
          <w:sz w:val="20"/>
          <w:szCs w:val="20"/>
        </w:rPr>
        <w:t>PRE Ú</w:t>
      </w:r>
      <w:r>
        <w:rPr>
          <w:rFonts w:ascii="Calibri" w:hAnsi="Calibri"/>
          <w:b/>
          <w:sz w:val="20"/>
          <w:szCs w:val="20"/>
        </w:rPr>
        <w:t>HRAD</w:t>
      </w:r>
      <w:r w:rsidR="005A1C26">
        <w:rPr>
          <w:rFonts w:ascii="Calibri" w:hAnsi="Calibri"/>
          <w:b/>
          <w:sz w:val="20"/>
          <w:szCs w:val="20"/>
        </w:rPr>
        <w:t>U</w:t>
      </w:r>
      <w:r>
        <w:rPr>
          <w:rFonts w:ascii="Calibri" w:hAnsi="Calibri"/>
          <w:b/>
          <w:sz w:val="20"/>
          <w:szCs w:val="20"/>
        </w:rPr>
        <w:t xml:space="preserve"> NÁKLADOV PREPRAVY ŽIAKOV STREDNÝCH ŠKÔL NA Ú</w:t>
      </w:r>
      <w:r w:rsidR="005A1C26">
        <w:rPr>
          <w:rFonts w:ascii="Calibri" w:hAnsi="Calibri"/>
          <w:b/>
          <w:sz w:val="20"/>
          <w:szCs w:val="20"/>
        </w:rPr>
        <w:t>ZEMÍ AP VOJVODINY NA ROK 2024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I.</w:t>
      </w:r>
    </w:p>
    <w:p w14:paraId="0412E996" w14:textId="2CC4D9E7" w:rsidR="00A76DC6" w:rsidRPr="0073586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Týmto rozhodnutím sa určuje </w:t>
      </w:r>
      <w:r w:rsidRPr="004B25C9">
        <w:rPr>
          <w:rFonts w:ascii="Calibri" w:hAnsi="Calibri"/>
          <w:b/>
          <w:sz w:val="20"/>
          <w:szCs w:val="20"/>
        </w:rPr>
        <w:t>rozd</w:t>
      </w:r>
      <w:r w:rsidR="005A1C26" w:rsidRPr="004B25C9">
        <w:rPr>
          <w:rFonts w:ascii="Calibri" w:hAnsi="Calibri"/>
          <w:b/>
          <w:sz w:val="20"/>
          <w:szCs w:val="20"/>
        </w:rPr>
        <w:t>elenie finančných prostriedkov pre ú</w:t>
      </w:r>
      <w:r w:rsidRPr="004B25C9">
        <w:rPr>
          <w:rFonts w:ascii="Calibri" w:hAnsi="Calibri"/>
          <w:b/>
          <w:sz w:val="20"/>
          <w:szCs w:val="20"/>
        </w:rPr>
        <w:t>hrad</w:t>
      </w:r>
      <w:r w:rsidR="005A1C26" w:rsidRPr="004B25C9">
        <w:rPr>
          <w:rFonts w:ascii="Calibri" w:hAnsi="Calibri"/>
          <w:b/>
          <w:sz w:val="20"/>
          <w:szCs w:val="20"/>
        </w:rPr>
        <w:t>u</w:t>
      </w:r>
      <w:r w:rsidRPr="004B25C9">
        <w:rPr>
          <w:rFonts w:ascii="Calibri" w:hAnsi="Calibri"/>
          <w:b/>
          <w:sz w:val="20"/>
          <w:szCs w:val="20"/>
        </w:rPr>
        <w:t xml:space="preserve"> nákladov prepravy žiakov stredných škôl </w:t>
      </w:r>
      <w:r w:rsidR="00CB796F">
        <w:rPr>
          <w:rFonts w:ascii="Calibri" w:hAnsi="Calibri"/>
          <w:b/>
          <w:sz w:val="20"/>
          <w:szCs w:val="20"/>
        </w:rPr>
        <w:t>v Autonómnej pokrajine Vojvodine</w:t>
      </w:r>
      <w:bookmarkStart w:id="0" w:name="_GoBack"/>
      <w:bookmarkEnd w:id="0"/>
      <w:r w:rsidRPr="004B25C9">
        <w:rPr>
          <w:rFonts w:ascii="Calibri" w:hAnsi="Calibri"/>
          <w:b/>
          <w:sz w:val="20"/>
          <w:szCs w:val="20"/>
        </w:rPr>
        <w:t xml:space="preserve"> v roku 2024</w:t>
      </w:r>
      <w:r>
        <w:rPr>
          <w:rFonts w:ascii="Calibri" w:hAnsi="Calibri"/>
          <w:sz w:val="20"/>
          <w:szCs w:val="20"/>
        </w:rPr>
        <w:t xml:space="preserve"> podľa </w:t>
      </w:r>
      <w:r w:rsidRPr="004B25C9">
        <w:rPr>
          <w:rFonts w:ascii="Calibri" w:hAnsi="Calibri"/>
          <w:i/>
          <w:sz w:val="20"/>
          <w:szCs w:val="20"/>
        </w:rPr>
        <w:t xml:space="preserve">Súbehu na </w:t>
      </w:r>
      <w:r w:rsidR="005A1C26" w:rsidRPr="004B25C9">
        <w:rPr>
          <w:rFonts w:ascii="Calibri" w:hAnsi="Calibri"/>
          <w:i/>
          <w:sz w:val="20"/>
          <w:szCs w:val="20"/>
        </w:rPr>
        <w:t>úhradu</w:t>
      </w:r>
      <w:r w:rsidRPr="004B25C9">
        <w:rPr>
          <w:rFonts w:ascii="Calibri" w:hAnsi="Calibri"/>
          <w:i/>
          <w:sz w:val="20"/>
          <w:szCs w:val="20"/>
        </w:rPr>
        <w:t xml:space="preserve"> prepravy žiakov stredných škôl na území AP Vojvodiny na rok 2024 číslo: </w:t>
      </w:r>
      <w:r>
        <w:rPr>
          <w:rFonts w:ascii="Calibri" w:hAnsi="Calibri"/>
          <w:i/>
          <w:sz w:val="20"/>
          <w:szCs w:val="20"/>
        </w:rPr>
        <w:t>00017367</w:t>
      </w:r>
      <w:r w:rsidR="004B25C9">
        <w:rPr>
          <w:rFonts w:ascii="Calibri" w:hAnsi="Calibri"/>
          <w:i/>
          <w:sz w:val="20"/>
          <w:szCs w:val="20"/>
        </w:rPr>
        <w:t xml:space="preserve">6 2024 09427 001 001 000 001 z 5. </w:t>
      </w:r>
      <w:r>
        <w:rPr>
          <w:rFonts w:ascii="Calibri" w:hAnsi="Calibri"/>
          <w:i/>
          <w:sz w:val="20"/>
          <w:szCs w:val="20"/>
        </w:rPr>
        <w:t xml:space="preserve">2. </w:t>
      </w:r>
      <w:r w:rsidRPr="005A1C26">
        <w:rPr>
          <w:rFonts w:ascii="Calibri" w:hAnsi="Calibri"/>
          <w:i/>
          <w:sz w:val="20"/>
          <w:szCs w:val="20"/>
        </w:rPr>
        <w:t>2024</w:t>
      </w:r>
      <w:r>
        <w:rPr>
          <w:rFonts w:ascii="Calibri" w:hAnsi="Calibri"/>
          <w:sz w:val="20"/>
          <w:szCs w:val="20"/>
        </w:rPr>
        <w:t xml:space="preserve"> (ďalej: súbeh).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II. </w:t>
      </w:r>
    </w:p>
    <w:p w14:paraId="424C8E3C" w14:textId="58CA7F4E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 w:rsidR="005A1C26">
        <w:rPr>
          <w:rFonts w:ascii="Calibri" w:hAnsi="Calibri"/>
          <w:sz w:val="20"/>
          <w:szCs w:val="20"/>
        </w:rPr>
        <w:t>Z plánovaných prostriedkov na ú</w:t>
      </w:r>
      <w:r>
        <w:rPr>
          <w:rFonts w:ascii="Calibri" w:hAnsi="Calibri"/>
          <w:sz w:val="20"/>
          <w:szCs w:val="20"/>
        </w:rPr>
        <w:t>hradu nákladov prepravy žiakov stredných škôl v roku 2024, ktoré boli súbehom vypísané vo výške 151 000 000,00 dinárov, týmto rozhodnutím  sa rozvrhuj</w:t>
      </w:r>
      <w:r w:rsidR="005A1C26">
        <w:rPr>
          <w:rFonts w:ascii="Calibri" w:hAnsi="Calibri"/>
          <w:sz w:val="20"/>
          <w:szCs w:val="20"/>
        </w:rPr>
        <w:t>e celá suma pre 45 obcí, respektív</w:t>
      </w:r>
      <w:r>
        <w:rPr>
          <w:rFonts w:ascii="Calibri" w:hAnsi="Calibri"/>
          <w:sz w:val="20"/>
          <w:szCs w:val="20"/>
        </w:rPr>
        <w:t>e miest v AP Vojvodine, ktoré podali prihlášky na súbeh. Výška prostriedkov rozvrhnutých po obciach a</w:t>
      </w:r>
      <w:r w:rsidR="004B25C9">
        <w:rPr>
          <w:rFonts w:ascii="Calibri" w:hAnsi="Calibri"/>
          <w:sz w:val="20"/>
          <w:szCs w:val="20"/>
        </w:rPr>
        <w:t> </w:t>
      </w:r>
      <w:r>
        <w:rPr>
          <w:rFonts w:ascii="Calibri" w:hAnsi="Calibri"/>
          <w:sz w:val="20"/>
          <w:szCs w:val="20"/>
        </w:rPr>
        <w:t>mestách</w:t>
      </w:r>
      <w:r w:rsidR="004B25C9">
        <w:rPr>
          <w:rFonts w:ascii="Calibri" w:hAnsi="Calibri"/>
          <w:sz w:val="20"/>
          <w:szCs w:val="20"/>
        </w:rPr>
        <w:t xml:space="preserve"> je určená podľa kritérií definovaných P</w:t>
      </w:r>
      <w:r>
        <w:rPr>
          <w:rFonts w:ascii="Calibri" w:hAnsi="Calibri"/>
          <w:sz w:val="20"/>
          <w:szCs w:val="20"/>
        </w:rPr>
        <w:t>ravidlami o podmienkach hradenia nákladov prepravy žiakov stredných škôl v AP Vojvodine.</w:t>
      </w:r>
    </w:p>
    <w:p w14:paraId="0DF97462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bCs/>
          <w:color w:val="000000"/>
          <w:sz w:val="20"/>
          <w:szCs w:val="20"/>
        </w:rPr>
        <w:t>III.</w:t>
      </w:r>
    </w:p>
    <w:p w14:paraId="23E0EA09" w14:textId="14269DAD" w:rsidR="00BB0DB1" w:rsidRPr="004B25C9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Rozvrhnutie prostriedkov z bodu II</w:t>
      </w:r>
      <w:r w:rsidR="005A1C26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tohto rozhodnutia po obciach a mestách v AP</w:t>
      </w:r>
      <w:r w:rsidR="004B25C9">
        <w:rPr>
          <w:rFonts w:ascii="Calibri" w:hAnsi="Calibri"/>
          <w:sz w:val="20"/>
          <w:szCs w:val="20"/>
        </w:rPr>
        <w:t xml:space="preserve"> Vojvodine je uvedené</w:t>
      </w:r>
      <w:r>
        <w:rPr>
          <w:rFonts w:ascii="Calibri" w:hAnsi="Calibri"/>
          <w:sz w:val="20"/>
          <w:szCs w:val="20"/>
        </w:rPr>
        <w:t xml:space="preserve"> v prílohe vytlačenej s týmto rozhodnutím a tvorí jeho neoddeliteľnú súčasť (rozvrhnutie prostriedkov </w:t>
      </w:r>
      <w:r w:rsidR="005A1C26">
        <w:rPr>
          <w:rFonts w:ascii="Calibri" w:hAnsi="Calibri"/>
          <w:sz w:val="20"/>
          <w:szCs w:val="20"/>
        </w:rPr>
        <w:t>na úhradu</w:t>
      </w:r>
      <w:r>
        <w:rPr>
          <w:rFonts w:ascii="Calibri" w:hAnsi="Calibri"/>
          <w:sz w:val="20"/>
          <w:szCs w:val="20"/>
        </w:rPr>
        <w:t xml:space="preserve"> nákladov na p</w:t>
      </w:r>
      <w:r w:rsidR="005A1C26">
        <w:rPr>
          <w:rFonts w:ascii="Calibri" w:hAnsi="Calibri"/>
          <w:sz w:val="20"/>
          <w:szCs w:val="20"/>
        </w:rPr>
        <w:t>repravu stredoškolákov n</w:t>
      </w:r>
      <w:r>
        <w:rPr>
          <w:rFonts w:ascii="Calibri" w:hAnsi="Calibri"/>
          <w:sz w:val="20"/>
          <w:szCs w:val="20"/>
        </w:rPr>
        <w:t>a</w:t>
      </w:r>
      <w:r w:rsidR="005A1C26">
        <w:rPr>
          <w:rFonts w:ascii="Calibri" w:hAnsi="Calibri"/>
          <w:sz w:val="20"/>
          <w:szCs w:val="20"/>
        </w:rPr>
        <w:t xml:space="preserve"> </w:t>
      </w:r>
      <w:r w:rsidR="004B25C9">
        <w:rPr>
          <w:rFonts w:ascii="Calibri" w:hAnsi="Calibri"/>
          <w:sz w:val="20"/>
          <w:szCs w:val="20"/>
        </w:rPr>
        <w:t>území AP Vojvodiny v roku 2024 –</w:t>
      </w:r>
      <w:r>
        <w:rPr>
          <w:rFonts w:ascii="Calibri" w:hAnsi="Calibri"/>
          <w:sz w:val="20"/>
          <w:szCs w:val="20"/>
        </w:rPr>
        <w:t xml:space="preserve"> tabuľka číslo 2).  </w:t>
      </w: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5587AE7C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IV.</w:t>
      </w:r>
    </w:p>
    <w:p w14:paraId="513DBB10" w14:textId="472DF12E" w:rsidR="00A76DC6" w:rsidRPr="00547E75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>Prostriedky z bodu II. tohto rozhodnutia sú určené Pokrajinským parlamentným uznesením o rozpočte Autonómnej pokrajiny Vojvodiny na rok 2024 (Úradný vestník APV č. 45/23) v rámci oddielu 06 – Pokrajinský sekretariá</w:t>
      </w:r>
      <w:r w:rsidR="009F0AC9">
        <w:rPr>
          <w:rFonts w:ascii="Calibri" w:hAnsi="Calibri"/>
          <w:sz w:val="20"/>
          <w:szCs w:val="20"/>
        </w:rPr>
        <w:t>t vzdelávania, predpisov, správy</w:t>
      </w:r>
      <w:r>
        <w:rPr>
          <w:rFonts w:ascii="Calibri" w:hAnsi="Calibri"/>
          <w:sz w:val="20"/>
          <w:szCs w:val="20"/>
        </w:rPr>
        <w:t xml:space="preserve"> a národnostných menšín </w:t>
      </w:r>
      <w:r w:rsidR="0082466C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národnostných</w:t>
      </w:r>
      <w:r w:rsidR="0082466C">
        <w:rPr>
          <w:rFonts w:ascii="Calibri" w:hAnsi="Calibri"/>
          <w:sz w:val="20"/>
          <w:szCs w:val="20"/>
        </w:rPr>
        <w:t xml:space="preserve"> spoločenstiev, Program 2027 – P</w:t>
      </w:r>
      <w:r>
        <w:rPr>
          <w:rFonts w:ascii="Calibri" w:hAnsi="Calibri"/>
          <w:sz w:val="20"/>
          <w:szCs w:val="20"/>
        </w:rPr>
        <w:t>odpora vo vzdelávaní žiakov a študento</w:t>
      </w:r>
      <w:r w:rsidR="009F0AC9">
        <w:rPr>
          <w:rFonts w:ascii="Calibri" w:hAnsi="Calibri"/>
          <w:sz w:val="20"/>
          <w:szCs w:val="20"/>
        </w:rPr>
        <w:t xml:space="preserve">v, Programová aktivita 1005 – </w:t>
      </w:r>
      <w:r w:rsidR="00CB796F">
        <w:rPr>
          <w:rFonts w:ascii="Calibri" w:hAnsi="Calibri"/>
          <w:sz w:val="20"/>
          <w:szCs w:val="20"/>
        </w:rPr>
        <w:t>Ú</w:t>
      </w:r>
      <w:r>
        <w:rPr>
          <w:rFonts w:ascii="Calibri" w:hAnsi="Calibri"/>
          <w:sz w:val="20"/>
          <w:szCs w:val="20"/>
        </w:rPr>
        <w:t xml:space="preserve">hrada nákladov na prepravu žiakov stredných škôl, funkčná klasifikácia 960 – </w:t>
      </w:r>
      <w:r w:rsidR="00CB796F">
        <w:rPr>
          <w:rFonts w:ascii="Calibri" w:hAnsi="Calibri"/>
          <w:sz w:val="20"/>
          <w:szCs w:val="20"/>
        </w:rPr>
        <w:t>D</w:t>
      </w:r>
      <w:r>
        <w:rPr>
          <w:rFonts w:ascii="Calibri" w:hAnsi="Calibri"/>
          <w:sz w:val="20"/>
          <w:szCs w:val="20"/>
        </w:rPr>
        <w:t xml:space="preserve">odatočné služby vo vzdelávaní, ekonomická klasifikácia 463 – </w:t>
      </w:r>
      <w:r w:rsidR="00CB796F">
        <w:rPr>
          <w:rFonts w:ascii="Calibri" w:hAnsi="Calibri"/>
          <w:sz w:val="20"/>
          <w:szCs w:val="20"/>
        </w:rPr>
        <w:t>P</w:t>
      </w:r>
      <w:r>
        <w:rPr>
          <w:rFonts w:ascii="Calibri" w:hAnsi="Calibri"/>
          <w:sz w:val="20"/>
          <w:szCs w:val="20"/>
        </w:rPr>
        <w:t xml:space="preserve">revody ostatným úrovniam moci, 4631 – </w:t>
      </w:r>
      <w:r w:rsidR="00CB796F">
        <w:rPr>
          <w:rFonts w:ascii="Calibri" w:hAnsi="Calibri"/>
          <w:sz w:val="20"/>
          <w:szCs w:val="20"/>
        </w:rPr>
        <w:t>B</w:t>
      </w:r>
      <w:r>
        <w:rPr>
          <w:rFonts w:ascii="Calibri" w:hAnsi="Calibri"/>
          <w:sz w:val="20"/>
          <w:szCs w:val="20"/>
        </w:rPr>
        <w:t xml:space="preserve">ežné prevody ostatným úrovniam moci, subanalytické konto 463132 – </w:t>
      </w:r>
      <w:r w:rsidR="00CB796F">
        <w:rPr>
          <w:rFonts w:ascii="Calibri" w:hAnsi="Calibri"/>
          <w:sz w:val="20"/>
          <w:szCs w:val="20"/>
        </w:rPr>
        <w:t>Ú</w:t>
      </w:r>
      <w:r>
        <w:rPr>
          <w:rFonts w:ascii="Calibri" w:hAnsi="Calibri"/>
          <w:sz w:val="20"/>
          <w:szCs w:val="20"/>
        </w:rPr>
        <w:t xml:space="preserve">čelový prevod úrovni miest a 463142 – </w:t>
      </w:r>
      <w:r w:rsidR="00CB796F">
        <w:rPr>
          <w:rFonts w:ascii="Calibri" w:hAnsi="Calibri"/>
          <w:sz w:val="20"/>
          <w:szCs w:val="20"/>
        </w:rPr>
        <w:t>Ú</w:t>
      </w:r>
      <w:r>
        <w:rPr>
          <w:rFonts w:ascii="Calibri" w:hAnsi="Calibri"/>
          <w:sz w:val="20"/>
          <w:szCs w:val="20"/>
        </w:rPr>
        <w:t>čelový prevod úrovni obcí, zdro</w:t>
      </w:r>
      <w:r w:rsidR="009F0AC9">
        <w:rPr>
          <w:rFonts w:ascii="Calibri" w:hAnsi="Calibri"/>
          <w:sz w:val="20"/>
          <w:szCs w:val="20"/>
        </w:rPr>
        <w:t xml:space="preserve">j financovania 01 00 – </w:t>
      </w:r>
      <w:r w:rsidR="00CB796F">
        <w:rPr>
          <w:rFonts w:ascii="Calibri" w:hAnsi="Calibri"/>
          <w:sz w:val="20"/>
          <w:szCs w:val="20"/>
        </w:rPr>
        <w:t>V</w:t>
      </w:r>
      <w:r w:rsidR="009F0AC9">
        <w:rPr>
          <w:rFonts w:ascii="Calibri" w:hAnsi="Calibri"/>
          <w:sz w:val="20"/>
          <w:szCs w:val="20"/>
        </w:rPr>
        <w:t>šeobecné</w:t>
      </w:r>
      <w:r>
        <w:rPr>
          <w:rFonts w:ascii="Calibri" w:hAnsi="Calibri"/>
          <w:sz w:val="20"/>
          <w:szCs w:val="20"/>
        </w:rPr>
        <w:t xml:space="preserve"> príjmy a výnosy rozpočtu a prenášajú sa užívateľom v súlade s prílevom prostriedkov do rozpočtu AP Vojvodiny, teda s likvidnými možnosťami rozpočtu.  </w:t>
      </w:r>
    </w:p>
    <w:p w14:paraId="483E43DB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V.</w:t>
      </w:r>
    </w:p>
    <w:p w14:paraId="40D8463F" w14:textId="755D9925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Sekretariát </w:t>
      </w:r>
      <w:r w:rsidR="009F0AC9">
        <w:rPr>
          <w:rFonts w:ascii="Calibri" w:hAnsi="Calibri"/>
          <w:sz w:val="20"/>
          <w:szCs w:val="20"/>
        </w:rPr>
        <w:t>bude informovať</w:t>
      </w:r>
      <w:r>
        <w:rPr>
          <w:rFonts w:ascii="Calibri" w:hAnsi="Calibri"/>
          <w:sz w:val="20"/>
          <w:szCs w:val="20"/>
        </w:rPr>
        <w:t xml:space="preserve"> obce a mestá o rozvrhnutí prostriedkov určených týmto rozhodnutím.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VI.</w:t>
      </w: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Sekretariát preberá záväzok voči obciam a mestám </w:t>
      </w:r>
      <w:r w:rsidRPr="009F0AC9">
        <w:rPr>
          <w:rFonts w:ascii="Calibri" w:hAnsi="Calibri"/>
          <w:b/>
          <w:color w:val="000000"/>
          <w:sz w:val="20"/>
          <w:szCs w:val="20"/>
        </w:rPr>
        <w:t>na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9F0AC9">
        <w:rPr>
          <w:rFonts w:ascii="Calibri" w:hAnsi="Calibri"/>
          <w:b/>
          <w:color w:val="000000"/>
          <w:sz w:val="20"/>
          <w:szCs w:val="20"/>
        </w:rPr>
        <w:t>základe písanej zmluvy</w:t>
      </w:r>
      <w:r>
        <w:rPr>
          <w:rFonts w:ascii="Calibri" w:hAnsi="Calibri"/>
          <w:color w:val="000000"/>
          <w:sz w:val="20"/>
          <w:szCs w:val="20"/>
        </w:rPr>
        <w:t xml:space="preserve">. </w:t>
      </w:r>
      <w:r>
        <w:rPr>
          <w:rFonts w:ascii="Calibri" w:hAnsi="Calibri"/>
          <w:b/>
          <w:color w:val="000000"/>
          <w:sz w:val="20"/>
          <w:szCs w:val="20"/>
        </w:rPr>
        <w:t xml:space="preserve">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VII.</w:t>
      </w: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Toto rozhodnutie je konečné a nemožno proti nemu podať opravný prostriedok.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VIII.</w:t>
      </w:r>
    </w:p>
    <w:p w14:paraId="1C15C4D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Za výkon tohto rozhodnutia je zodpovedný Sektor pre hmotno-finančné úkony sekretariátu.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Rozhodnutie doručiť: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0D632B38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Sektoru materiálno</w:t>
      </w:r>
      <w:r w:rsidR="00CB796F">
        <w:rPr>
          <w:rFonts w:ascii="Calibri" w:hAnsi="Calibri"/>
          <w:sz w:val="20"/>
          <w:szCs w:val="20"/>
        </w:rPr>
        <w:t>-finančných úkonov sekretariátu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Archívu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77777777" w:rsidR="00A76DC6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POKRAJINSKÝ TAJOMNÍK</w:t>
      </w:r>
    </w:p>
    <w:p w14:paraId="614EED7D" w14:textId="77777777" w:rsidR="00A76DC6" w:rsidRDefault="00A76DC6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2BF9D1EB" w14:textId="52E772F1" w:rsidR="00A76DC6" w:rsidRPr="00655172" w:rsidRDefault="003815E3" w:rsidP="009F0AC9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Szakállas</w:t>
      </w:r>
      <w:r w:rsidR="009F0AC9">
        <w:rPr>
          <w:rFonts w:ascii="Calibri" w:hAnsi="Calibri"/>
          <w:b/>
          <w:bCs/>
          <w:sz w:val="20"/>
          <w:szCs w:val="20"/>
        </w:rPr>
        <w:t xml:space="preserve"> Zsolt</w:t>
      </w:r>
    </w:p>
    <w:p w14:paraId="29F6E15D" w14:textId="7FF598E0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</w:t>
      </w:r>
      <w:r w:rsidR="009F0AC9">
        <w:rPr>
          <w:rFonts w:ascii="Calibri" w:hAnsi="Calibri"/>
          <w:b/>
          <w:bCs/>
          <w:sz w:val="20"/>
          <w:szCs w:val="20"/>
        </w:rPr>
        <w:t xml:space="preserve">                 </w:t>
      </w: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B8211" w14:textId="77777777" w:rsidR="004A1783" w:rsidRDefault="004A1783">
      <w:r>
        <w:separator/>
      </w:r>
    </w:p>
  </w:endnote>
  <w:endnote w:type="continuationSeparator" w:id="0">
    <w:p w14:paraId="183D26B7" w14:textId="77777777" w:rsidR="004A1783" w:rsidRDefault="004A1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3C3B6" w14:textId="77777777" w:rsidR="004A1783" w:rsidRDefault="004A1783">
      <w:r>
        <w:separator/>
      </w:r>
    </w:p>
  </w:footnote>
  <w:footnote w:type="continuationSeparator" w:id="0">
    <w:p w14:paraId="162F197D" w14:textId="77777777" w:rsidR="004A1783" w:rsidRDefault="004A1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6551C8A0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796F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355E"/>
    <w:rsid w:val="00025B07"/>
    <w:rsid w:val="00032C8D"/>
    <w:rsid w:val="00086329"/>
    <w:rsid w:val="00101382"/>
    <w:rsid w:val="00166031"/>
    <w:rsid w:val="00181021"/>
    <w:rsid w:val="00192A7D"/>
    <w:rsid w:val="001A6C23"/>
    <w:rsid w:val="001B5100"/>
    <w:rsid w:val="001D59E1"/>
    <w:rsid w:val="001D7AC1"/>
    <w:rsid w:val="001F437B"/>
    <w:rsid w:val="00251886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4A1783"/>
    <w:rsid w:val="004B25C9"/>
    <w:rsid w:val="00547E75"/>
    <w:rsid w:val="005A1C26"/>
    <w:rsid w:val="005A464B"/>
    <w:rsid w:val="005C5305"/>
    <w:rsid w:val="00630048"/>
    <w:rsid w:val="00651851"/>
    <w:rsid w:val="00655172"/>
    <w:rsid w:val="00657F79"/>
    <w:rsid w:val="0066746D"/>
    <w:rsid w:val="00675382"/>
    <w:rsid w:val="006C3C5C"/>
    <w:rsid w:val="006E46F2"/>
    <w:rsid w:val="006F3D68"/>
    <w:rsid w:val="0072741A"/>
    <w:rsid w:val="0073586B"/>
    <w:rsid w:val="00786DC0"/>
    <w:rsid w:val="007A37F9"/>
    <w:rsid w:val="007C6FED"/>
    <w:rsid w:val="007E418B"/>
    <w:rsid w:val="007F7AC2"/>
    <w:rsid w:val="00821BF5"/>
    <w:rsid w:val="0082466C"/>
    <w:rsid w:val="00830130"/>
    <w:rsid w:val="00857C5A"/>
    <w:rsid w:val="00886EB3"/>
    <w:rsid w:val="008971A2"/>
    <w:rsid w:val="008B0146"/>
    <w:rsid w:val="008B7CA7"/>
    <w:rsid w:val="009200E3"/>
    <w:rsid w:val="009311D2"/>
    <w:rsid w:val="009D1DB4"/>
    <w:rsid w:val="009F0AC9"/>
    <w:rsid w:val="009F182D"/>
    <w:rsid w:val="00A277BF"/>
    <w:rsid w:val="00A378FA"/>
    <w:rsid w:val="00A40EA3"/>
    <w:rsid w:val="00A5507D"/>
    <w:rsid w:val="00A76DC6"/>
    <w:rsid w:val="00A92818"/>
    <w:rsid w:val="00AF4881"/>
    <w:rsid w:val="00AF73AB"/>
    <w:rsid w:val="00B159E3"/>
    <w:rsid w:val="00BB0DB1"/>
    <w:rsid w:val="00BD3715"/>
    <w:rsid w:val="00C5137F"/>
    <w:rsid w:val="00CB796F"/>
    <w:rsid w:val="00CE6E20"/>
    <w:rsid w:val="00D23B28"/>
    <w:rsid w:val="00D73986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Martina Bartosova</cp:lastModifiedBy>
  <cp:revision>55</cp:revision>
  <dcterms:created xsi:type="dcterms:W3CDTF">2020-03-28T16:16:00Z</dcterms:created>
  <dcterms:modified xsi:type="dcterms:W3CDTF">2024-04-17T13:07:00Z</dcterms:modified>
</cp:coreProperties>
</file>