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8F329D" w:rsidTr="00CD4B32">
        <w:trPr>
          <w:trHeight w:val="1975"/>
        </w:trPr>
        <w:tc>
          <w:tcPr>
            <w:tcW w:w="2410" w:type="dxa"/>
          </w:tcPr>
          <w:p w:rsidR="00D1291A" w:rsidRPr="008F329D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8F329D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8F329D" w:rsidRDefault="008F329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8F329D" w:rsidRDefault="008F329D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8F329D" w:rsidRDefault="008F329D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8F329D" w:rsidRDefault="008F329D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8F329D" w:rsidRDefault="008F329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8F329D" w:rsidRDefault="008F329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8F329D" w:rsidRDefault="008E7FA4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95556A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8F329D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8F329D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793" w:type="dxa"/>
        <w:tblLayout w:type="fixed"/>
        <w:tblLook w:val="00A0" w:firstRow="1" w:lastRow="0" w:firstColumn="1" w:lastColumn="0" w:noHBand="0" w:noVBand="0"/>
      </w:tblPr>
      <w:tblGrid>
        <w:gridCol w:w="4770"/>
        <w:gridCol w:w="5023"/>
      </w:tblGrid>
      <w:tr w:rsidR="00D1291A" w:rsidRPr="008F329D" w:rsidTr="00B9025E">
        <w:trPr>
          <w:trHeight w:val="426"/>
        </w:trPr>
        <w:tc>
          <w:tcPr>
            <w:tcW w:w="4770" w:type="dxa"/>
          </w:tcPr>
          <w:p w:rsidR="00D1291A" w:rsidRPr="008F329D" w:rsidRDefault="00CD4B32" w:rsidP="0093245B">
            <w:pPr>
              <w:tabs>
                <w:tab w:val="center" w:pos="4703"/>
                <w:tab w:val="right" w:pos="9406"/>
              </w:tabs>
              <w:ind w:left="-105" w:right="-158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000146585 2024 09427 004 001 000 001/2-1</w:t>
            </w:r>
          </w:p>
          <w:p w:rsidR="00D1291A" w:rsidRPr="008F329D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8F329D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</w:t>
            </w:r>
            <w:r w:rsidR="0093245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DATUM: 27.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93245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2024.</w:t>
            </w:r>
            <w:r w:rsidR="0093245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godine</w:t>
            </w:r>
          </w:p>
          <w:p w:rsidR="00D1291A" w:rsidRPr="008F329D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8F329D" w:rsidRDefault="008F329D" w:rsidP="00817D18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Na temelju član</w:t>
      </w:r>
      <w:r w:rsidR="0093245B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ka 15., 16. stavaka 1. i 5. i 24. stavka 2. Pokrajinske skupštinske odluke o pokrajinskoj upravi („Službeni list APV“, broj: 37/14, 54/14 ‒ dr. odluka,  37/16, 29/17, 24/19, 66/20 i 38/21), članka 23. stavaka 1. i 4. Pokrajinske skupštinske odluke o proračunu Autonomne Pokrajine Vojvodine za 2024. godinu („Službeni list APV“, broj: </w:t>
      </w:r>
      <w:r>
        <w:rPr>
          <w:rFonts w:asciiTheme="minorHAnsi" w:hAnsiTheme="minorHAnsi"/>
          <w:sz w:val="22"/>
          <w:szCs w:val="22"/>
        </w:rPr>
        <w:t>45/23</w:t>
      </w:r>
      <w:r>
        <w:rPr>
          <w:rFonts w:ascii="Calibri" w:hAnsi="Calibri"/>
          <w:sz w:val="22"/>
          <w:szCs w:val="22"/>
        </w:rPr>
        <w:t xml:space="preserve">), članka 9. Pravilnika o dodjeli proračunskih sredstava za financiranje i sufinanciranje modernizacije infrastrukture ustanova osnovnog i srednjeg obrazovanja i odgoja i učeničkog standarda na teritoriju AP Vojvodine („Službeni list APV”, broj: 7/23 i 5/24), članka 9. Pravilnika o dodjeli proračunskih sredstava za financiranje i sufinanciranje modernizacije infrastrukture predškolskih ustanova na teritoriju AP Vojvodine („Službeni list APV”, broj: 7/23 i 5/24)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>
        <w:rPr>
          <w:rFonts w:ascii="Calibri" w:hAnsi="Calibri"/>
          <w:color w:val="000000"/>
          <w:sz w:val="22"/>
          <w:szCs w:val="22"/>
        </w:rPr>
        <w:t>000146585 2024 09427 004 001 000 001</w:t>
      </w:r>
      <w:r>
        <w:rPr>
          <w:rFonts w:ascii="Calibri" w:hAnsi="Calibri"/>
          <w:sz w:val="22"/>
          <w:szCs w:val="22"/>
        </w:rPr>
        <w:t xml:space="preserve"> od 29. 1. 2024. godine („Sl. list APV“, broj: 6/2024), pokrajinski tajnik donosi:</w:t>
      </w:r>
    </w:p>
    <w:p w:rsidR="00D1291A" w:rsidRPr="008F329D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8F329D" w:rsidRDefault="008F329D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 O IZMJENI RJEŠENJA</w:t>
      </w:r>
    </w:p>
    <w:p w:rsidR="0093245B" w:rsidRDefault="008F329D" w:rsidP="00E67648">
      <w:pPr>
        <w:pStyle w:val="BlockText"/>
        <w:ind w:left="187" w:right="-12" w:firstLine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>
        <w:rPr>
          <w:rFonts w:ascii="Calibri" w:hAnsi="Calibri"/>
          <w:b/>
          <w:sz w:val="22"/>
          <w:szCs w:val="22"/>
        </w:rPr>
        <w:t xml:space="preserve">NA TERITORIJU AUTONOMNE POKRAJINE VOJVODINE ZA 2024. GODINU </w:t>
      </w:r>
    </w:p>
    <w:p w:rsidR="0093245B" w:rsidRDefault="008F329D" w:rsidP="00E67648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</w:t>
      </w:r>
      <w:r>
        <w:rPr>
          <w:rFonts w:ascii="Calibri" w:hAnsi="Calibri"/>
          <w:b/>
          <w:color w:val="000000"/>
          <w:sz w:val="22"/>
          <w:szCs w:val="22"/>
        </w:rPr>
        <w:t xml:space="preserve">000146585 2024 09427 004 001 000 001/2 </w:t>
      </w:r>
    </w:p>
    <w:p w:rsidR="00E67648" w:rsidRPr="008F329D" w:rsidRDefault="008F329D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OD 16. 5. 2024. GODINE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1291A" w:rsidRPr="008F329D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93245B" w:rsidRPr="008F329D" w:rsidRDefault="0093245B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7F23C8" w:rsidRPr="0093245B" w:rsidRDefault="008F329D" w:rsidP="007F23C8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 Tablici 1.</w:t>
      </w:r>
      <w:r>
        <w:rPr>
          <w:rFonts w:ascii="Calibri" w:hAnsi="Calibri"/>
          <w:bCs/>
          <w:color w:val="000000"/>
          <w:sz w:val="22"/>
          <w:szCs w:val="22"/>
        </w:rPr>
        <w:t xml:space="preserve"> Raspodjela sredstava za financiranje i sufinanciranje rekonstrukcije, adaptacije, sanacije, investicijsko i tekuće održavanje objekata ustanova osnovnog obrazovanja i odgoja na teritoriju Autonomne Pokrajine Vojvodine za 2024. godinu, koja je sastavni dio Rješenja 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klasa: </w:t>
      </w:r>
      <w:r>
        <w:rPr>
          <w:rFonts w:ascii="Calibri" w:hAnsi="Calibri"/>
          <w:color w:val="000000"/>
          <w:sz w:val="22"/>
          <w:szCs w:val="22"/>
        </w:rPr>
        <w:t xml:space="preserve">000146585 2024 09427 004 001 000 001/2 od 16. 5. 2024. godine, </w:t>
      </w:r>
      <w:r>
        <w:rPr>
          <w:rFonts w:ascii="Calibri" w:hAnsi="Calibri"/>
          <w:bCs/>
          <w:color w:val="000000"/>
          <w:sz w:val="22"/>
          <w:szCs w:val="22"/>
        </w:rPr>
        <w:t>u stupcu „Namjena dodijeljenih sredstava“,  pod rednim brojem 1., riječi: „</w:t>
      </w:r>
      <w:r>
        <w:rPr>
          <w:rFonts w:asciiTheme="minorHAnsi" w:hAnsiTheme="minorHAnsi"/>
          <w:sz w:val="22"/>
          <w:szCs w:val="22"/>
        </w:rPr>
        <w:t>za sufinanciranje investicijskog održavanja sanitarnih čvorova objekta u Utrinama</w:t>
      </w:r>
      <w:r>
        <w:rPr>
          <w:rFonts w:ascii="Calibri" w:hAnsi="Calibri"/>
          <w:bCs/>
          <w:color w:val="000000"/>
          <w:sz w:val="22"/>
          <w:szCs w:val="22"/>
        </w:rPr>
        <w:t>“ trebaju se zamijeniti riječima:  „</w:t>
      </w:r>
      <w:r>
        <w:rPr>
          <w:rFonts w:asciiTheme="minorHAnsi" w:hAnsiTheme="minorHAnsi"/>
          <w:sz w:val="22"/>
          <w:szCs w:val="22"/>
        </w:rPr>
        <w:t xml:space="preserve">za sufinanciranje investicijskog održavanja objekta škole u Utrinama“, zatim </w:t>
      </w:r>
      <w:r>
        <w:rPr>
          <w:rFonts w:ascii="Calibri" w:hAnsi="Calibri"/>
          <w:bCs/>
          <w:color w:val="000000"/>
          <w:sz w:val="22"/>
          <w:szCs w:val="22"/>
        </w:rPr>
        <w:t xml:space="preserve">pod rednim 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brojem 11. riječi:  </w:t>
      </w:r>
      <w:r>
        <w:rPr>
          <w:sz w:val="22"/>
          <w:szCs w:val="22"/>
        </w:rPr>
        <w:t>„</w:t>
      </w:r>
      <w:r w:rsidRPr="0093245B">
        <w:rPr>
          <w:rFonts w:ascii="Calibri" w:hAnsi="Calibri" w:cs="Calibri"/>
          <w:sz w:val="22"/>
          <w:szCs w:val="22"/>
        </w:rPr>
        <w:t xml:space="preserve">za financiranje tekućeg održavanja na zamjeni: oluka, stolarije, bravarije, podnih obloga i </w:t>
      </w:r>
      <w:proofErr w:type="spellStart"/>
      <w:r w:rsidRPr="0093245B">
        <w:rPr>
          <w:rFonts w:ascii="Calibri" w:hAnsi="Calibri" w:cs="Calibri"/>
          <w:sz w:val="22"/>
          <w:szCs w:val="22"/>
        </w:rPr>
        <w:t>ličilački</w:t>
      </w:r>
      <w:proofErr w:type="spellEnd"/>
      <w:r w:rsidRPr="0093245B">
        <w:rPr>
          <w:rFonts w:ascii="Calibri" w:hAnsi="Calibri" w:cs="Calibri"/>
          <w:sz w:val="22"/>
          <w:szCs w:val="22"/>
        </w:rPr>
        <w:t xml:space="preserve"> radovi“ trebaju se zamijeniti riječima:</w:t>
      </w:r>
      <w:r w:rsidRPr="0093245B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93245B">
        <w:rPr>
          <w:rFonts w:ascii="Calibri" w:hAnsi="Calibri" w:cs="Calibri"/>
          <w:sz w:val="22"/>
          <w:szCs w:val="22"/>
        </w:rPr>
        <w:t xml:space="preserve">„za financiranje tekućeg održavanja na zamjeni: oluka, stolarije/bravarije, podnih obloga, </w:t>
      </w:r>
      <w:proofErr w:type="spellStart"/>
      <w:r w:rsidRPr="0093245B">
        <w:rPr>
          <w:rFonts w:ascii="Calibri" w:hAnsi="Calibri" w:cs="Calibri"/>
          <w:sz w:val="22"/>
          <w:szCs w:val="22"/>
        </w:rPr>
        <w:t>fasaderskih</w:t>
      </w:r>
      <w:proofErr w:type="spellEnd"/>
      <w:r w:rsidRPr="0093245B">
        <w:rPr>
          <w:rFonts w:ascii="Calibri" w:hAnsi="Calibri" w:cs="Calibri"/>
          <w:sz w:val="22"/>
          <w:szCs w:val="22"/>
        </w:rPr>
        <w:t xml:space="preserve"> i </w:t>
      </w:r>
      <w:proofErr w:type="spellStart"/>
      <w:r w:rsidRPr="0093245B">
        <w:rPr>
          <w:rFonts w:ascii="Calibri" w:hAnsi="Calibri" w:cs="Calibri"/>
          <w:sz w:val="22"/>
          <w:szCs w:val="22"/>
        </w:rPr>
        <w:t>ličilačkih</w:t>
      </w:r>
      <w:proofErr w:type="spellEnd"/>
      <w:r w:rsidRPr="0093245B">
        <w:rPr>
          <w:rFonts w:ascii="Calibri" w:hAnsi="Calibri" w:cs="Calibri"/>
          <w:sz w:val="22"/>
          <w:szCs w:val="22"/>
        </w:rPr>
        <w:t xml:space="preserve"> radova</w:t>
      </w:r>
      <w:r w:rsidRPr="0093245B">
        <w:rPr>
          <w:rFonts w:ascii="Calibri" w:hAnsi="Calibri" w:cs="Calibri"/>
          <w:bCs/>
          <w:color w:val="000000"/>
          <w:sz w:val="22"/>
          <w:szCs w:val="22"/>
        </w:rPr>
        <w:t xml:space="preserve">“ i pod rednim brojem 15. riječi:  „za financiranje tekućeg održavanja sanitarnih čvorova“ </w:t>
      </w:r>
      <w:r w:rsidR="0093245B">
        <w:rPr>
          <w:rFonts w:ascii="Calibri" w:hAnsi="Calibri" w:cs="Calibri"/>
          <w:bCs/>
          <w:color w:val="000000"/>
          <w:sz w:val="22"/>
          <w:szCs w:val="22"/>
        </w:rPr>
        <w:t>trebaju se zamijeniti riječima:</w:t>
      </w:r>
      <w:r w:rsidRPr="0093245B">
        <w:rPr>
          <w:rFonts w:ascii="Calibri" w:hAnsi="Calibri" w:cs="Calibri"/>
          <w:bCs/>
          <w:color w:val="000000"/>
          <w:sz w:val="22"/>
          <w:szCs w:val="22"/>
        </w:rPr>
        <w:t xml:space="preserve"> „za financiranje tekućeg održavanja sanitarnih čvorova i </w:t>
      </w:r>
      <w:proofErr w:type="spellStart"/>
      <w:r w:rsidRPr="0093245B">
        <w:rPr>
          <w:rFonts w:ascii="Calibri" w:hAnsi="Calibri" w:cs="Calibri"/>
          <w:bCs/>
          <w:color w:val="000000"/>
          <w:sz w:val="22"/>
          <w:szCs w:val="22"/>
        </w:rPr>
        <w:t>ličilačkih</w:t>
      </w:r>
      <w:proofErr w:type="spellEnd"/>
      <w:r w:rsidRPr="0093245B">
        <w:rPr>
          <w:rFonts w:ascii="Calibri" w:hAnsi="Calibri" w:cs="Calibri"/>
          <w:bCs/>
          <w:color w:val="000000"/>
          <w:sz w:val="22"/>
          <w:szCs w:val="22"/>
        </w:rPr>
        <w:t xml:space="preserve"> radova u objektu škole“.</w:t>
      </w:r>
    </w:p>
    <w:p w:rsidR="002B6E76" w:rsidRPr="008F329D" w:rsidRDefault="002B6E76" w:rsidP="007F23C8">
      <w:pPr>
        <w:pStyle w:val="BlockText"/>
        <w:ind w:left="142" w:right="-12" w:firstLine="567"/>
        <w:rPr>
          <w:rFonts w:ascii="Calibri" w:hAnsi="Calibri"/>
          <w:color w:val="000000"/>
          <w:sz w:val="22"/>
          <w:szCs w:val="22"/>
        </w:rPr>
      </w:pPr>
    </w:p>
    <w:p w:rsidR="007F23C8" w:rsidRPr="008F329D" w:rsidRDefault="007F23C8" w:rsidP="007F23C8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2B6E76">
      <w:pPr>
        <w:pStyle w:val="BlockText"/>
        <w:ind w:left="4500" w:right="-12" w:firstLine="0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II.</w:t>
      </w:r>
    </w:p>
    <w:p w:rsidR="0093245B" w:rsidRPr="008F329D" w:rsidRDefault="0093245B" w:rsidP="002B6E76">
      <w:pPr>
        <w:pStyle w:val="BlockText"/>
        <w:ind w:left="4500" w:right="-12" w:firstLine="0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E25C01" w:rsidRPr="008F329D" w:rsidRDefault="00E25C01" w:rsidP="00E25C01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        Izreka ovog rješenja objavit će se na mrežnoj stranici Tajništva.</w:t>
      </w:r>
    </w:p>
    <w:p w:rsidR="00E96548" w:rsidRPr="008F329D" w:rsidRDefault="00E96548" w:rsidP="00E96548">
      <w:pPr>
        <w:pStyle w:val="BlockText"/>
        <w:ind w:left="142" w:right="-12" w:firstLine="0"/>
        <w:jc w:val="center"/>
        <w:rPr>
          <w:rFonts w:ascii="Calibri" w:hAnsi="Calibri" w:cs="Arial"/>
          <w:b/>
          <w:bCs/>
          <w:i/>
          <w:color w:val="000000"/>
          <w:sz w:val="22"/>
          <w:szCs w:val="22"/>
        </w:rPr>
      </w:pPr>
    </w:p>
    <w:p w:rsidR="00E96548" w:rsidRPr="008F329D" w:rsidRDefault="008F329D" w:rsidP="00E96548">
      <w:pPr>
        <w:pStyle w:val="BlockText"/>
        <w:ind w:left="142" w:right="-12" w:firstLine="0"/>
        <w:jc w:val="center"/>
        <w:rPr>
          <w:rFonts w:ascii="Calibri" w:hAnsi="Calibri" w:cs="Arial"/>
          <w:b/>
          <w:bCs/>
          <w:i/>
          <w:color w:val="000000"/>
          <w:sz w:val="22"/>
          <w:szCs w:val="22"/>
        </w:rPr>
      </w:pPr>
      <w:r>
        <w:rPr>
          <w:rFonts w:ascii="Calibri" w:hAnsi="Calibri"/>
          <w:b/>
          <w:bCs/>
          <w:i/>
          <w:color w:val="000000"/>
          <w:sz w:val="22"/>
          <w:szCs w:val="22"/>
        </w:rPr>
        <w:t>Obrazloženje</w:t>
      </w:r>
    </w:p>
    <w:p w:rsidR="00E96548" w:rsidRPr="008F329D" w:rsidRDefault="00E96548" w:rsidP="00E96548">
      <w:pPr>
        <w:pStyle w:val="BlockText"/>
        <w:ind w:left="142" w:right="-12" w:firstLine="0"/>
        <w:jc w:val="center"/>
        <w:rPr>
          <w:rFonts w:ascii="Calibri" w:hAnsi="Calibri" w:cs="Arial"/>
          <w:b/>
          <w:bCs/>
          <w:i/>
          <w:color w:val="000000"/>
          <w:sz w:val="22"/>
          <w:szCs w:val="22"/>
        </w:rPr>
      </w:pPr>
    </w:p>
    <w:p w:rsidR="00E96548" w:rsidRDefault="008F329D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Pokrajinski tajnik je dana 16. 5. 2024. godine pod klasom: </w:t>
      </w:r>
      <w:r>
        <w:rPr>
          <w:rFonts w:ascii="Calibri" w:hAnsi="Calibri"/>
          <w:color w:val="000000"/>
          <w:sz w:val="22"/>
          <w:szCs w:val="22"/>
        </w:rPr>
        <w:t xml:space="preserve">000146585 2024 09427 004 001 000 001/2 </w:t>
      </w:r>
      <w:r>
        <w:rPr>
          <w:rFonts w:ascii="Calibri" w:hAnsi="Calibri"/>
          <w:bCs/>
          <w:color w:val="000000"/>
          <w:sz w:val="22"/>
          <w:szCs w:val="22"/>
        </w:rPr>
        <w:t xml:space="preserve">donio Rješenje 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>
        <w:rPr>
          <w:rFonts w:ascii="Calibri" w:hAnsi="Calibri"/>
          <w:sz w:val="22"/>
          <w:szCs w:val="22"/>
        </w:rPr>
        <w:t>na teritoriju Autonomne Pokrajine Vojvodine za 2024. godinu.</w:t>
      </w:r>
    </w:p>
    <w:p w:rsidR="0093245B" w:rsidRPr="008F329D" w:rsidRDefault="0093245B" w:rsidP="00E96548">
      <w:pPr>
        <w:pStyle w:val="BlockText"/>
        <w:ind w:left="0" w:right="-12" w:firstLine="0"/>
        <w:rPr>
          <w:rFonts w:ascii="Calibri" w:hAnsi="Calibri" w:cs="Tahoma"/>
          <w:sz w:val="22"/>
          <w:szCs w:val="22"/>
        </w:rPr>
      </w:pPr>
    </w:p>
    <w:p w:rsidR="00E96548" w:rsidRPr="0093245B" w:rsidRDefault="008F329D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bCs/>
          <w:color w:val="000000"/>
          <w:sz w:val="22"/>
          <w:szCs w:val="22"/>
        </w:rPr>
      </w:pPr>
      <w:r w:rsidRPr="0093245B">
        <w:rPr>
          <w:rFonts w:ascii="Calibri" w:hAnsi="Calibri"/>
          <w:bCs/>
          <w:color w:val="000000"/>
          <w:sz w:val="22"/>
          <w:szCs w:val="22"/>
        </w:rPr>
        <w:t>Nakon objave navedenog rješenja na mrežnoj stranici Tajništva 17. 5. 2024. godine, uočene su tehničke greške u njegovom tekstu.</w:t>
      </w:r>
    </w:p>
    <w:p w:rsidR="0093245B" w:rsidRPr="0093245B" w:rsidRDefault="0093245B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bCs/>
          <w:color w:val="000000"/>
          <w:sz w:val="22"/>
          <w:szCs w:val="22"/>
        </w:rPr>
      </w:pPr>
    </w:p>
    <w:p w:rsidR="00E96548" w:rsidRDefault="008F329D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bCs/>
          <w:color w:val="000000"/>
          <w:sz w:val="22"/>
          <w:szCs w:val="22"/>
        </w:rPr>
      </w:pPr>
      <w:r w:rsidRPr="0093245B">
        <w:rPr>
          <w:rFonts w:ascii="Calibri" w:hAnsi="Calibri"/>
          <w:bCs/>
          <w:color w:val="000000"/>
          <w:sz w:val="22"/>
          <w:szCs w:val="22"/>
        </w:rPr>
        <w:t xml:space="preserve">Člankom 24. stavkom 2. Pokrajinske skupštinske odluke o pokrajinskoj upravi („Službeni list APV”, broj 37/14, 54/14 </w:t>
      </w:r>
      <w:r w:rsidR="0093245B">
        <w:rPr>
          <w:rFonts w:ascii="Calibri" w:hAnsi="Calibri"/>
          <w:bCs/>
          <w:color w:val="000000"/>
          <w:sz w:val="22"/>
          <w:szCs w:val="22"/>
        </w:rPr>
        <w:t>–</w:t>
      </w:r>
      <w:r w:rsidRPr="0093245B">
        <w:rPr>
          <w:rFonts w:ascii="Calibri" w:hAnsi="Calibri"/>
          <w:bCs/>
          <w:color w:val="000000"/>
          <w:sz w:val="22"/>
          <w:szCs w:val="22"/>
        </w:rPr>
        <w:t xml:space="preserve"> dr. odluka, 37/16, 29/17, 24/19 i 66/20) propisano je, između ostalog, da pokrajinski tajnik organizira i osigurava obavljanje poslova na učinkovit način i donosi akta za koja je ovlašten.</w:t>
      </w:r>
    </w:p>
    <w:p w:rsidR="0093245B" w:rsidRPr="0093245B" w:rsidRDefault="0093245B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bCs/>
          <w:color w:val="000000"/>
          <w:sz w:val="22"/>
          <w:szCs w:val="22"/>
        </w:rPr>
      </w:pPr>
      <w:bookmarkStart w:id="0" w:name="_GoBack"/>
      <w:bookmarkEnd w:id="0"/>
    </w:p>
    <w:p w:rsidR="00E96548" w:rsidRPr="0093245B" w:rsidRDefault="008F329D" w:rsidP="0093245B">
      <w:pPr>
        <w:pStyle w:val="BlockText"/>
        <w:tabs>
          <w:tab w:val="clear" w:pos="5423"/>
          <w:tab w:val="clear" w:pos="5797"/>
        </w:tabs>
        <w:ind w:left="0" w:right="-12" w:firstLine="709"/>
        <w:rPr>
          <w:rFonts w:ascii="Calibri" w:hAnsi="Calibri"/>
          <w:bCs/>
          <w:color w:val="000000"/>
          <w:sz w:val="22"/>
          <w:szCs w:val="22"/>
        </w:rPr>
      </w:pPr>
      <w:r w:rsidRPr="0093245B">
        <w:rPr>
          <w:rFonts w:ascii="Calibri" w:hAnsi="Calibri"/>
          <w:bCs/>
          <w:color w:val="000000"/>
          <w:sz w:val="22"/>
          <w:szCs w:val="22"/>
        </w:rPr>
        <w:t>Na temelju iznesenog, izvršen je ispravak tehničke greške kao u izreci.</w:t>
      </w:r>
    </w:p>
    <w:p w:rsidR="00E25C01" w:rsidRPr="008F329D" w:rsidRDefault="00E25C01" w:rsidP="002B6E76">
      <w:pPr>
        <w:pStyle w:val="BlockText"/>
        <w:ind w:left="4500" w:right="-12" w:firstLine="0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FE0351" w:rsidRPr="008F329D" w:rsidRDefault="008F329D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FE0351" w:rsidRPr="008F329D" w:rsidRDefault="008F329D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</w:p>
    <w:p w:rsidR="00D1291A" w:rsidRPr="008F329D" w:rsidRDefault="008F329D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8F329D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FE0351" w:rsidRPr="008F329D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956A2" w:rsidRPr="008F329D" w:rsidRDefault="00F956A2" w:rsidP="00F956A2">
      <w:pPr>
        <w:rPr>
          <w:rFonts w:ascii="Calibri" w:hAnsi="Calibri" w:cs="Tahoma"/>
          <w:sz w:val="22"/>
          <w:szCs w:val="22"/>
        </w:rPr>
      </w:pPr>
    </w:p>
    <w:p w:rsidR="00F956A2" w:rsidRPr="0093245B" w:rsidRDefault="00F956A2" w:rsidP="00F956A2">
      <w:pPr>
        <w:pStyle w:val="BodyTextIndent"/>
        <w:jc w:val="center"/>
        <w:rPr>
          <w:rFonts w:ascii="Calibri" w:hAnsi="Calibri" w:cs="Tahoma"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    </w:t>
      </w:r>
      <w:r w:rsidRPr="0093245B">
        <w:rPr>
          <w:rFonts w:ascii="Calibri" w:hAnsi="Calibri"/>
          <w:bCs/>
          <w:sz w:val="22"/>
          <w:szCs w:val="22"/>
        </w:rPr>
        <w:t>POKRAJINSKI TAJNIK</w:t>
      </w:r>
    </w:p>
    <w:p w:rsidR="00F956A2" w:rsidRPr="008F329D" w:rsidRDefault="00F956A2" w:rsidP="00F956A2">
      <w:pPr>
        <w:rPr>
          <w:rFonts w:asciiTheme="minorHAnsi" w:hAnsiTheme="minorHAnsi" w:cstheme="minorHAnsi"/>
          <w:sz w:val="22"/>
          <w:szCs w:val="22"/>
        </w:rPr>
      </w:pPr>
      <w:r w:rsidRPr="0093245B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Róbert</w:t>
      </w:r>
      <w:r>
        <w:rPr>
          <w:rFonts w:asciiTheme="minorHAnsi" w:hAnsiTheme="minorHAnsi"/>
          <w:sz w:val="22"/>
          <w:szCs w:val="22"/>
        </w:rPr>
        <w:t xml:space="preserve"> Ótott</w:t>
      </w:r>
    </w:p>
    <w:p w:rsidR="00F956A2" w:rsidRPr="008F329D" w:rsidRDefault="00F956A2" w:rsidP="00F956A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</w:t>
      </w:r>
      <w:r w:rsidR="0093245B">
        <w:rPr>
          <w:rFonts w:asciiTheme="minorHAnsi" w:hAnsiTheme="minorHAnsi"/>
          <w:sz w:val="22"/>
          <w:szCs w:val="22"/>
        </w:rPr>
        <w:t xml:space="preserve">                               </w:t>
      </w:r>
    </w:p>
    <w:p w:rsidR="00FE0351" w:rsidRPr="008F329D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8F329D" w:rsidSect="0093245B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FA4" w:rsidRDefault="008E7FA4">
      <w:r>
        <w:separator/>
      </w:r>
    </w:p>
  </w:endnote>
  <w:endnote w:type="continuationSeparator" w:id="0">
    <w:p w:rsidR="008E7FA4" w:rsidRDefault="008E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FA4" w:rsidRDefault="008E7FA4">
      <w:r>
        <w:separator/>
      </w:r>
    </w:p>
  </w:footnote>
  <w:footnote w:type="continuationSeparator" w:id="0">
    <w:p w:rsidR="008E7FA4" w:rsidRDefault="008E7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84BE4"/>
    <w:rsid w:val="00284D07"/>
    <w:rsid w:val="00293453"/>
    <w:rsid w:val="002B52BA"/>
    <w:rsid w:val="002B5517"/>
    <w:rsid w:val="002B6E76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458F9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1DFF"/>
    <w:rsid w:val="00782201"/>
    <w:rsid w:val="0079647D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7F23C8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E7FA4"/>
    <w:rsid w:val="008F0A6A"/>
    <w:rsid w:val="008F329D"/>
    <w:rsid w:val="008F3DDC"/>
    <w:rsid w:val="008F717D"/>
    <w:rsid w:val="009025DD"/>
    <w:rsid w:val="00927909"/>
    <w:rsid w:val="0093019C"/>
    <w:rsid w:val="0093245B"/>
    <w:rsid w:val="00941D82"/>
    <w:rsid w:val="00946A49"/>
    <w:rsid w:val="00950696"/>
    <w:rsid w:val="00953E32"/>
    <w:rsid w:val="00954AF5"/>
    <w:rsid w:val="0095556A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E1546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9025E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09A3"/>
    <w:rsid w:val="00C50A6B"/>
    <w:rsid w:val="00C53409"/>
    <w:rsid w:val="00C632F3"/>
    <w:rsid w:val="00C63F34"/>
    <w:rsid w:val="00C67306"/>
    <w:rsid w:val="00C70F34"/>
    <w:rsid w:val="00C755C1"/>
    <w:rsid w:val="00C83B3D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720D"/>
    <w:rsid w:val="00D61DE0"/>
    <w:rsid w:val="00D8197A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5C01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548"/>
    <w:rsid w:val="00E96919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956A2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12</cp:revision>
  <cp:lastPrinted>2024-05-20T12:32:00Z</cp:lastPrinted>
  <dcterms:created xsi:type="dcterms:W3CDTF">2024-05-27T11:05:00Z</dcterms:created>
  <dcterms:modified xsi:type="dcterms:W3CDTF">2024-05-28T07:34:00Z</dcterms:modified>
</cp:coreProperties>
</file>