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Srbská republika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22"/>
              </w:rPr>
              <w:t>pokrajina</w:t>
            </w:r>
            <w:proofErr w:type="spellEnd"/>
            <w:r>
              <w:rPr>
                <w:rFonts w:ascii="Calibri" w:hAnsi="Calibri"/>
                <w:sz w:val="22"/>
              </w:rPr>
              <w:t xml:space="preserve"> Vojvodina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Pokrajinský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sekretariát vzdelávania, predpisov,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správy a národnostných menšín – národnostných spoločenstiev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22"/>
              </w:rPr>
              <w:t>Mihajla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</w:t>
            </w:r>
            <w:r>
              <w:rPr>
                <w:rFonts w:ascii="Calibri" w:hAnsi="Calibri"/>
                <w:sz w:val="22"/>
              </w:rPr>
              <w:br/>
              <w:t>21 000 Nový Sad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T: +381 21  487  46 14, 487 40 36, 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</w:rPr>
              <w:t>ounz@vojvodinа.gov.rs</w:t>
            </w:r>
          </w:p>
        </w:tc>
      </w:tr>
      <w:tr w:rsidR="00207D5E" w:rsidRPr="00676F39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433C05" w:rsidRDefault="00433C0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B653EB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Číslo: 128- 454-450/2022-04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207D5E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DÁTUM: 14. 09. 2022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Podľa článku 3 Pravidiel o pridelení rozpočtových prostriedkov </w:t>
      </w:r>
      <w:proofErr w:type="spellStart"/>
      <w:r>
        <w:rPr>
          <w:rFonts w:ascii="Calibri" w:hAnsi="Calibri"/>
          <w:sz w:val="22"/>
        </w:rPr>
        <w:t>Pokrajinského</w:t>
      </w:r>
      <w:proofErr w:type="spellEnd"/>
      <w:r>
        <w:rPr>
          <w:rFonts w:ascii="Calibri" w:hAnsi="Calibri"/>
          <w:sz w:val="22"/>
        </w:rPr>
        <w:t xml:space="preserve"> sekretariátu vzdelávania, predpisov, správy a národnostných menšín – národnostných spoločenstiev na financovanie a </w:t>
      </w:r>
      <w:proofErr w:type="spellStart"/>
      <w:r>
        <w:rPr>
          <w:rFonts w:ascii="Calibri" w:hAnsi="Calibri"/>
          <w:sz w:val="22"/>
        </w:rPr>
        <w:t>spolufinacovanie</w:t>
      </w:r>
      <w:proofErr w:type="spellEnd"/>
      <w:r>
        <w:rPr>
          <w:rFonts w:ascii="Calibri" w:hAnsi="Calibri"/>
          <w:sz w:val="22"/>
        </w:rPr>
        <w:t xml:space="preserve"> modernizácie infraštruktúry ustanovizní základnej a strednej výchovy a vzdelávania a žiackeho štandardu na území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 (Úradný vestník APV číslo 4/17) a v súvislosti s </w:t>
      </w:r>
      <w:proofErr w:type="spellStart"/>
      <w:r>
        <w:rPr>
          <w:rFonts w:ascii="Calibri" w:hAnsi="Calibri"/>
          <w:sz w:val="22"/>
        </w:rPr>
        <w:t>Pokrajinským</w:t>
      </w:r>
      <w:proofErr w:type="spellEnd"/>
      <w:r>
        <w:rPr>
          <w:rFonts w:ascii="Calibri" w:hAnsi="Calibri"/>
          <w:sz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 na rok 2022 (Úradný vestník APV č. 54/21, 7/22 a 37/22 ), </w:t>
      </w:r>
      <w:proofErr w:type="spellStart"/>
      <w:r>
        <w:rPr>
          <w:rFonts w:ascii="Calibri" w:hAnsi="Calibri"/>
          <w:sz w:val="22"/>
        </w:rPr>
        <w:t>Pokrajinský</w:t>
      </w:r>
      <w:proofErr w:type="spellEnd"/>
      <w:r>
        <w:rPr>
          <w:rFonts w:ascii="Calibri" w:hAnsi="Calibri"/>
          <w:sz w:val="22"/>
        </w:rPr>
        <w:t xml:space="preserve"> sekretariát vzdelávania, predpisov, správy a národnostných menšín ‒ národnostných spoločenstiev (ďalej: Sekretariát) vypísal  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SÚBEH 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bCs/>
        </w:rPr>
        <w:t>NA FINANCOVANIE A SPOLUFINANCOVANIE PRÍPRAVY TECHNICKEJ DOKUMENTÁCIE PRE POTREBY ZÁKLADNÝCH A STREDNÝCH ŠKOLSKÝCH USTANOVIZNÍ NA ÚZEMÍ AUTONÓMNEJ POKRAJINY VOJVODINY NA ROK 2022</w:t>
      </w:r>
      <w:r>
        <w:rPr>
          <w:rFonts w:ascii="Calibri" w:hAnsi="Calibri"/>
          <w:b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Súbeh sa vypisuje na výnos prostriedkov zabezpečených </w:t>
      </w:r>
      <w:proofErr w:type="spellStart"/>
      <w:r>
        <w:rPr>
          <w:rFonts w:ascii="Calibri" w:hAnsi="Calibri"/>
          <w:sz w:val="22"/>
        </w:rPr>
        <w:t>Pokrajinským</w:t>
      </w:r>
      <w:proofErr w:type="spellEnd"/>
      <w:r>
        <w:rPr>
          <w:rFonts w:ascii="Calibri" w:hAnsi="Calibri"/>
          <w:sz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 na rok 2022 (Úradný vestník APV č. 54/21, 7/22 a 37/22), a to: na financovanie prípravy technickej dokumentácie pre potreby základných a stredných škôl na území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 v celkovej výške </w:t>
      </w:r>
      <w:r>
        <w:rPr>
          <w:rFonts w:ascii="Calibri" w:hAnsi="Calibri"/>
          <w:b/>
          <w:bCs/>
          <w:sz w:val="22"/>
        </w:rPr>
        <w:t>20 000 000,00 dinárov</w:t>
      </w:r>
      <w:r>
        <w:rPr>
          <w:rFonts w:ascii="Calibri" w:hAnsi="Calibri"/>
          <w:sz w:val="22"/>
        </w:rPr>
        <w:t xml:space="preserve"> (na úrovni základnej výchovy a vzdelávania </w:t>
      </w:r>
      <w:r>
        <w:rPr>
          <w:rFonts w:ascii="Calibri" w:hAnsi="Calibri"/>
          <w:b/>
          <w:bCs/>
          <w:sz w:val="22"/>
        </w:rPr>
        <w:t>15 000 000,00 dinárov</w:t>
      </w:r>
      <w:r>
        <w:rPr>
          <w:rFonts w:ascii="Calibri" w:hAnsi="Calibri"/>
          <w:sz w:val="22"/>
        </w:rPr>
        <w:t>, na úrovni strednej výchovy a vzdelávania</w:t>
      </w:r>
      <w:r>
        <w:rPr>
          <w:rFonts w:ascii="Calibri" w:hAnsi="Calibri"/>
          <w:b/>
          <w:bCs/>
          <w:sz w:val="22"/>
        </w:rPr>
        <w:t xml:space="preserve"> 5 000 000,00 dinárov</w:t>
      </w:r>
      <w:r>
        <w:rPr>
          <w:rFonts w:ascii="Calibri" w:hAnsi="Calibri"/>
          <w:sz w:val="22"/>
        </w:rPr>
        <w:t xml:space="preserve">).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Pod vypracovaním technickej dokumentácie sa rozumie vypracovanie technickej dokumentácie, ktorá je v súlade s pozitívnymi právnymi predpismi upravujúcimi oblasť plánovania a výstavby potrebná na vydanie aktu príslušného orgánu, ktorým povoľuje výstavbu nových zariadení alebo vykonávanie stavebných prác na existujúcich zariadeniach využívaných ustanovizňami základnej a strednej výchovy a vzdelávania na území AP Vojvodiny, a to: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Ideové riešenie;</w:t>
      </w:r>
    </w:p>
    <w:p w:rsidR="00207D5E" w:rsidRPr="00540176" w:rsidRDefault="00433C0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Ideové riešenie s príslušnými</w:t>
      </w:r>
      <w:r w:rsidR="00207D5E">
        <w:rPr>
          <w:rFonts w:ascii="Calibri" w:hAnsi="Calibri"/>
        </w:rPr>
        <w:t xml:space="preserve"> štúdiami (na účely vydania rozhodnutia o súhlase s vykonaním prác - rekonštrukcia, adaptácia, sanácia);</w:t>
      </w:r>
    </w:p>
    <w:p w:rsidR="00207D5E" w:rsidRPr="00540176" w:rsidRDefault="00433C0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Projekt na</w:t>
      </w:r>
      <w:r w:rsidR="00207D5E">
        <w:rPr>
          <w:rFonts w:ascii="Calibri" w:hAnsi="Calibri"/>
        </w:rPr>
        <w:t xml:space="preserve"> stavebné povolenie so súvisiacimi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Projekt na implementáciu so súvisiacimi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Projekt hotového objektu s príslušnými štúdiami;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Technický popis a zoznam prác pre investičné údržbárske práce;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Iná technická dokumentácia, ktorá je v súlade s pozitívnymi právnymi predpismi upravujúcimi oblasť plánovania a výstavby potrebná na realizáciu plánovaného projektu.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Realizácia finančných záväzkov sa uskutoční v súlade s likvidnými možnosťami rozpočtu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 na rok 2022.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PODMIENKY SÚBEHU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</w:rPr>
        <w:t xml:space="preserve">1. Podávatelia žiadosti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         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Užívateľmi, ktorí majú právo podieľať sa na rozdeľovaní financií, sú školy pre základnú výchovu a vzdelávanie a školy pre strednú výchovu a vzdelávanie na území Autonómnej </w:t>
      </w:r>
      <w:proofErr w:type="spellStart"/>
      <w:r>
        <w:rPr>
          <w:rFonts w:ascii="Calibri" w:hAnsi="Calibri"/>
          <w:sz w:val="22"/>
        </w:rPr>
        <w:t>pokrajiny</w:t>
      </w:r>
      <w:proofErr w:type="spellEnd"/>
      <w:r>
        <w:rPr>
          <w:rFonts w:ascii="Calibri" w:hAnsi="Calibri"/>
          <w:sz w:val="22"/>
        </w:rPr>
        <w:t xml:space="preserve"> Vojvodiny, ktorej zakladateľom je Srbská republika, AP Vojvodina a jednotka lokálnej samosprávy.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</w:rPr>
        <w:t>2. Kritériá prideľovania finančných prostriedkov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Kritériá prideľovania finančných prostriedkov podľa Pravidiel о rozpočtových prostriedkov </w:t>
      </w:r>
      <w:proofErr w:type="spellStart"/>
      <w:r>
        <w:rPr>
          <w:rFonts w:ascii="Calibri" w:hAnsi="Calibri"/>
          <w:sz w:val="22"/>
        </w:rPr>
        <w:t>Pokrajinského</w:t>
      </w:r>
      <w:proofErr w:type="spellEnd"/>
      <w:r>
        <w:rPr>
          <w:rFonts w:ascii="Calibri" w:hAnsi="Calibri"/>
          <w:sz w:val="22"/>
        </w:rPr>
        <w:t xml:space="preserve"> sekretariátu vzdelávania, predpisov, správy a národnostných menšín – národnostných spoločenstiev na financovanie a </w:t>
      </w:r>
      <w:proofErr w:type="spellStart"/>
      <w:r>
        <w:rPr>
          <w:rFonts w:ascii="Calibri" w:hAnsi="Calibri"/>
          <w:sz w:val="22"/>
        </w:rPr>
        <w:t>spolufinacovanie</w:t>
      </w:r>
      <w:proofErr w:type="spellEnd"/>
      <w:r>
        <w:rPr>
          <w:rFonts w:ascii="Calibri" w:hAnsi="Calibri"/>
          <w:sz w:val="22"/>
        </w:rPr>
        <w:t xml:space="preserve"> modernizácie infraštruktúry ustanovizní základnej a strednej výchovy a vzdelávania na území  AP Vojvodiny sú: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význam realizácie projektu, pokiaľ ide o bezpečnosť žiakov, učiteľov a zamestnancov, ktorí využívajú objekty,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dôležitosť realizácie projektu na poskytovanie kvalitných </w:t>
      </w:r>
      <w:r w:rsidR="00433C05">
        <w:t xml:space="preserve">podmienok na vykonávanie </w:t>
      </w:r>
      <w:proofErr w:type="spellStart"/>
      <w:r w:rsidR="00433C05">
        <w:t>výchovn</w:t>
      </w:r>
      <w:r>
        <w:t>o</w:t>
      </w:r>
      <w:proofErr w:type="spellEnd"/>
      <w:r>
        <w:t xml:space="preserve"> – vzdelávacej práce,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finančná opodstatnenosť projektu,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udržateľnosť projektu,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miestny alebo regionálny význam projektu,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aktivity, ktoré sú vykonávané na účely realizácie projektu,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zabezpečené zdroje prostriedkov na realizáciu projektu.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SPÔSOB PODÁVANIA ŽIADOSTI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Žiadosti o pridelenie finančných prostriedkov sa predkladajú na jedinečnom súbehovom tlačive Sekretariátu. </w:t>
      </w:r>
      <w:r w:rsidRPr="00433C05">
        <w:rPr>
          <w:rFonts w:asciiTheme="minorHAnsi" w:hAnsiTheme="minorHAnsi" w:cstheme="minorHAnsi"/>
        </w:rPr>
        <w:t>Kompletná súbehová dokumentácia sa môže stiahnuť od</w:t>
      </w:r>
      <w:r w:rsidRPr="00433C05">
        <w:rPr>
          <w:rFonts w:asciiTheme="minorHAnsi" w:hAnsiTheme="minorHAnsi" w:cstheme="minorHAnsi"/>
          <w:sz w:val="22"/>
        </w:rPr>
        <w:t xml:space="preserve"> </w:t>
      </w:r>
      <w:r w:rsidRPr="00433C05">
        <w:rPr>
          <w:rFonts w:asciiTheme="minorHAnsi" w:hAnsiTheme="minorHAnsi" w:cstheme="minorHAnsi"/>
          <w:b/>
          <w:sz w:val="22"/>
          <w:u w:val="single"/>
        </w:rPr>
        <w:t>14.</w:t>
      </w:r>
      <w:r w:rsidR="00433C05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433C05">
        <w:rPr>
          <w:rFonts w:asciiTheme="minorHAnsi" w:hAnsiTheme="minorHAnsi" w:cstheme="minorHAnsi"/>
          <w:b/>
          <w:sz w:val="22"/>
          <w:u w:val="single"/>
        </w:rPr>
        <w:t>09.</w:t>
      </w:r>
      <w:r w:rsidR="00433C05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433C05">
        <w:rPr>
          <w:rFonts w:asciiTheme="minorHAnsi" w:hAnsiTheme="minorHAnsi" w:cstheme="minorHAnsi"/>
          <w:b/>
          <w:sz w:val="22"/>
          <w:u w:val="single"/>
        </w:rPr>
        <w:t xml:space="preserve">2022 </w:t>
      </w:r>
      <w:r w:rsidRPr="00433C05">
        <w:rPr>
          <w:rFonts w:asciiTheme="minorHAnsi" w:hAnsiTheme="minorHAnsi" w:cstheme="minorHAnsi"/>
        </w:rPr>
        <w:t>z webovej stránky Sekretariátu</w:t>
      </w:r>
      <w:r w:rsidR="00433C05">
        <w:rPr>
          <w:rFonts w:asciiTheme="minorHAnsi" w:hAnsiTheme="minorHAnsi" w:cstheme="minorHAnsi"/>
        </w:rPr>
        <w:t>.</w:t>
      </w: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Prihlášky sa doručujú poštou na adresu: </w:t>
      </w:r>
      <w:proofErr w:type="spellStart"/>
      <w:r>
        <w:rPr>
          <w:rFonts w:ascii="Calibri" w:hAnsi="Calibri"/>
          <w:sz w:val="22"/>
        </w:rPr>
        <w:t>Pokrajinský</w:t>
      </w:r>
      <w:proofErr w:type="spellEnd"/>
      <w:r>
        <w:rPr>
          <w:rFonts w:ascii="Calibri" w:hAnsi="Calibri"/>
          <w:sz w:val="22"/>
        </w:rPr>
        <w:t xml:space="preserve"> sekretariát vzdelávania, predpisov, správy a národnostných menšín - národnostných spoločenstiev s označením Na súťaž - na financovanie prípravy technickej dokumentácie pre potreby základných a stredných škôl na území AP Vojvodiny na rok 2022, Bulvár </w:t>
      </w:r>
      <w:proofErr w:type="spellStart"/>
      <w:r>
        <w:rPr>
          <w:rFonts w:ascii="Calibri" w:hAnsi="Calibri"/>
          <w:sz w:val="22"/>
        </w:rPr>
        <w:t>Mihajla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 w:rsidR="00433C05">
        <w:rPr>
          <w:rFonts w:ascii="Calibri" w:hAnsi="Calibri"/>
          <w:sz w:val="22"/>
        </w:rPr>
        <w:t>Pupina</w:t>
      </w:r>
      <w:proofErr w:type="spellEnd"/>
      <w:r w:rsidR="00433C05">
        <w:rPr>
          <w:rFonts w:ascii="Calibri" w:hAnsi="Calibri"/>
          <w:sz w:val="22"/>
        </w:rPr>
        <w:t xml:space="preserve"> 16, 21000 Nový Sad</w:t>
      </w:r>
      <w:r>
        <w:rPr>
          <w:rFonts w:ascii="Calibri" w:hAnsi="Calibri"/>
          <w:sz w:val="22"/>
        </w:rPr>
        <w:t xml:space="preserve"> alebo osobne v spisovni </w:t>
      </w:r>
      <w:proofErr w:type="spellStart"/>
      <w:r>
        <w:rPr>
          <w:rFonts w:ascii="Calibri" w:hAnsi="Calibri"/>
          <w:sz w:val="22"/>
        </w:rPr>
        <w:t>pokrajinských</w:t>
      </w:r>
      <w:proofErr w:type="spellEnd"/>
      <w:r>
        <w:rPr>
          <w:rFonts w:ascii="Calibri" w:hAnsi="Calibri"/>
          <w:sz w:val="22"/>
        </w:rPr>
        <w:t xml:space="preserve"> správnych orgánov v Novom Sade (na prízemí budovy </w:t>
      </w:r>
      <w:proofErr w:type="spellStart"/>
      <w:r>
        <w:rPr>
          <w:rFonts w:ascii="Calibri" w:hAnsi="Calibri"/>
          <w:sz w:val="22"/>
        </w:rPr>
        <w:t>Pokrajinskej</w:t>
      </w:r>
      <w:proofErr w:type="spellEnd"/>
      <w:r>
        <w:rPr>
          <w:rFonts w:ascii="Calibri" w:hAnsi="Calibri"/>
          <w:sz w:val="22"/>
        </w:rPr>
        <w:t xml:space="preserve"> vlády).</w:t>
      </w:r>
      <w:r>
        <w:rPr>
          <w:rFonts w:ascii="Calibri" w:hAnsi="Calibri"/>
          <w:b/>
          <w:sz w:val="22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AE31AF" w:rsidRDefault="00AE31AF" w:rsidP="00AE31AF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t>K prihláške na súbeh sa pripája: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projektová úloha  </w:t>
      </w:r>
    </w:p>
    <w:p w:rsidR="00AE31AF" w:rsidRPr="00AE31AF" w:rsidRDefault="00D01D18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rozhodnutie školskej rady o začatí aktivít súvisiacich s realizáciou projektu,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ponuka-odhad na vypracovanie technickej dokumentácie (získaná firmou, inou právnickou osobou, teda podnikateľom zapísaným v registri obchodných subjektov),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predchádzajúca dostupná dokumentácia na realizáciu plánovaného projektu (ak dokumentácia existuje) a </w:t>
      </w:r>
    </w:p>
    <w:p w:rsidR="00AE31AF" w:rsidRPr="00AE31AF" w:rsidRDefault="00AE31AF" w:rsidP="00AE31AF">
      <w:pPr>
        <w:pStyle w:val="ListParagraph"/>
        <w:numPr>
          <w:ilvl w:val="0"/>
          <w:numId w:val="6"/>
        </w:numPr>
        <w:rPr>
          <w:b/>
        </w:rPr>
      </w:pPr>
      <w:r w:rsidRPr="00433C05">
        <w:rPr>
          <w:b/>
        </w:rPr>
        <w:t>v prípade spolufinancovania</w:t>
      </w:r>
      <w:r>
        <w:rPr>
          <w:b/>
        </w:rPr>
        <w:t xml:space="preserve"> poskytnúť dôkaz o zabezpečených finančných prostriedkoch na spolufinancovanie technickej dokumentácie (zmluva, rozhodnutie, výpis z rozpočtu jednotky miestnej samosprávy a pod.) spolu s riadne podpísaným a opečiatkovaným Vyhlásením o účasti na spolufinancovaní technickej dokumentácie (Vyhlášku doručiť vo voľnej podobe).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color w:val="FF0000"/>
          <w:sz w:val="22"/>
        </w:rPr>
        <w:t xml:space="preserve"> </w:t>
      </w:r>
      <w:r>
        <w:rPr>
          <w:rFonts w:ascii="Calibri" w:hAnsi="Calibri"/>
          <w:b/>
          <w:sz w:val="22"/>
          <w:u w:val="single"/>
        </w:rPr>
        <w:t xml:space="preserve">Lehota podávania prihlášok na súbeh je 28. 9. 2022.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Sekretariát si vyhradzuje právo, podľa potreby, požadovať od žiadateľa dodatočnú dokumentáciu a informácie alebo na pridelenie finančných prostriedkov určiť splnenie dodatočných podmienok.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Komisia nebude rozoberať: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neúplné žiadosti; 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oneskorené prihlášky (zaslané po termíne označenom ako posledný deň súbehu),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lastRenderedPageBreak/>
        <w:t>- neprípustné prihlášky (predložené neoprávnenými osobami a sub</w:t>
      </w:r>
      <w:r w:rsidR="00433C05">
        <w:rPr>
          <w:rFonts w:ascii="Calibri" w:hAnsi="Calibri"/>
        </w:rPr>
        <w:t>jektmi, ktoré nie sú uvedené v s</w:t>
      </w:r>
      <w:r>
        <w:rPr>
          <w:rFonts w:ascii="Calibri" w:hAnsi="Calibri"/>
        </w:rPr>
        <w:t>úbehu),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prihlášky, ktoré nesúvisia s účelmi stanovenými súbehom,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prihlášky užívateľov, ktorí v predchádzajúcom období neopodstatnili pridelené prostriedky z </w:t>
      </w:r>
      <w:proofErr w:type="spellStart"/>
      <w:r>
        <w:rPr>
          <w:rFonts w:ascii="Calibri" w:hAnsi="Calibri"/>
        </w:rPr>
        <w:t>pokrajinského</w:t>
      </w:r>
      <w:proofErr w:type="spellEnd"/>
      <w:r>
        <w:rPr>
          <w:rFonts w:ascii="Calibri" w:hAnsi="Calibri"/>
        </w:rPr>
        <w:t xml:space="preserve"> rozpočtu prostredníctvom finančných a opisných správ.</w:t>
      </w:r>
    </w:p>
    <w:p w:rsidR="00207D5E" w:rsidRPr="00540176" w:rsidRDefault="00433C05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Výsledky s</w:t>
      </w:r>
      <w:r w:rsidR="00207D5E">
        <w:rPr>
          <w:rFonts w:ascii="Calibri" w:hAnsi="Calibri"/>
          <w:sz w:val="22"/>
        </w:rPr>
        <w:t xml:space="preserve">úbehu sa uverejnia na internetovej prezentácii Sekretariátu.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Ďalšie informácie týka</w:t>
      </w:r>
      <w:r w:rsidR="00433C05">
        <w:rPr>
          <w:rFonts w:ascii="Calibri" w:hAnsi="Calibri"/>
          <w:b/>
          <w:sz w:val="22"/>
        </w:rPr>
        <w:t>júce sa realizácie s</w:t>
      </w:r>
      <w:r>
        <w:rPr>
          <w:rFonts w:ascii="Calibri" w:hAnsi="Calibri"/>
          <w:b/>
          <w:sz w:val="22"/>
        </w:rPr>
        <w:t>úbehu je možné získať v Sekretariáte telefonicky: 021/ 487 487 14, 487 487 4876 a 487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</w:r>
      <w:proofErr w:type="spellStart"/>
      <w:r>
        <w:rPr>
          <w:rFonts w:ascii="Calibri" w:hAnsi="Calibri"/>
          <w:sz w:val="22"/>
        </w:rPr>
        <w:t>Pokrajinský</w:t>
      </w:r>
      <w:proofErr w:type="spellEnd"/>
      <w:r>
        <w:rPr>
          <w:rFonts w:ascii="Calibri" w:hAnsi="Calibri"/>
          <w:sz w:val="22"/>
        </w:rPr>
        <w:t xml:space="preserve"> tajomník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EC6E9B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  <w:t xml:space="preserve">Zsolt </w:t>
      </w:r>
      <w:proofErr w:type="spellStart"/>
      <w:r>
        <w:rPr>
          <w:rFonts w:ascii="Calibri" w:hAnsi="Calibri"/>
          <w:sz w:val="22"/>
        </w:rPr>
        <w:t>Szakállas</w:t>
      </w:r>
      <w:proofErr w:type="spellEnd"/>
    </w:p>
    <w:p w:rsidR="00207D5E" w:rsidRPr="008A76F8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  <w:t>(</w:t>
      </w:r>
      <w:proofErr w:type="spellStart"/>
      <w:r>
        <w:rPr>
          <w:rFonts w:ascii="Calibri" w:hAnsi="Calibri"/>
          <w:sz w:val="22"/>
        </w:rPr>
        <w:t>Žolt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Sakalaš</w:t>
      </w:r>
      <w:proofErr w:type="spellEnd"/>
      <w:r>
        <w:rPr>
          <w:rFonts w:ascii="Calibri" w:hAnsi="Calibri"/>
          <w:sz w:val="22"/>
        </w:rPr>
        <w:t xml:space="preserve">)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3C05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40FC"/>
    <w:rsid w:val="00634597"/>
    <w:rsid w:val="00641A62"/>
    <w:rsid w:val="00650A84"/>
    <w:rsid w:val="00676F39"/>
    <w:rsid w:val="00683B73"/>
    <w:rsid w:val="006E2C61"/>
    <w:rsid w:val="007362D4"/>
    <w:rsid w:val="00744786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1886"/>
    <w:rsid w:val="00A469C8"/>
    <w:rsid w:val="00A720AC"/>
    <w:rsid w:val="00AB4574"/>
    <w:rsid w:val="00AE31AF"/>
    <w:rsid w:val="00B6092D"/>
    <w:rsid w:val="00B653EB"/>
    <w:rsid w:val="00B74930"/>
    <w:rsid w:val="00BA56DF"/>
    <w:rsid w:val="00C113A9"/>
    <w:rsid w:val="00C167EF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EC6E9B"/>
    <w:rsid w:val="00E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DC80B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sk-SK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816</Words>
  <Characters>5495</Characters>
  <Application>Microsoft Office Word</Application>
  <DocSecurity>0</DocSecurity>
  <Lines>127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Jan Nvota</cp:lastModifiedBy>
  <cp:revision>6</cp:revision>
  <dcterms:created xsi:type="dcterms:W3CDTF">2022-09-09T09:30:00Z</dcterms:created>
  <dcterms:modified xsi:type="dcterms:W3CDTF">2022-09-12T12:39:00Z</dcterms:modified>
</cp:coreProperties>
</file>