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ayout w:type="fixed"/>
        <w:tblLook w:val="04A0" w:firstRow="1" w:lastRow="0" w:firstColumn="1" w:lastColumn="0" w:noHBand="0" w:noVBand="1"/>
      </w:tblPr>
      <w:tblGrid>
        <w:gridCol w:w="2410"/>
        <w:gridCol w:w="3483"/>
        <w:gridCol w:w="4172"/>
      </w:tblGrid>
      <w:tr w:rsidR="00BE61DE" w:rsidRPr="006D4672" w:rsidTr="001E0F0E">
        <w:trPr>
          <w:trHeight w:val="1975"/>
        </w:trPr>
        <w:tc>
          <w:tcPr>
            <w:tcW w:w="2410" w:type="dxa"/>
          </w:tcPr>
          <w:p w:rsidR="00BE61DE" w:rsidRPr="006D4672" w:rsidRDefault="001E0F0E" w:rsidP="006A0F02">
            <w:pPr>
              <w:tabs>
                <w:tab w:val="center" w:pos="4703"/>
                <w:tab w:val="right" w:pos="9406"/>
              </w:tabs>
              <w:ind w:left="-198" w:firstLine="108"/>
              <w:rPr>
                <w:rFonts w:eastAsia="Calibri"/>
                <w:noProof/>
                <w:sz w:val="16"/>
                <w:szCs w:val="16"/>
              </w:rPr>
            </w:pPr>
            <w:r w:rsidRPr="006D4672">
              <w:rPr>
                <w:noProof/>
                <w:lang w:val="en-US"/>
              </w:rPr>
              <w:drawing>
                <wp:inline distT="0" distB="0" distL="0" distR="0" wp14:anchorId="21353209" wp14:editId="10CD3746">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1B481F" w:rsidRDefault="001B481F"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Republica Serbia</w:t>
            </w:r>
          </w:p>
          <w:p w:rsidR="00BE61DE" w:rsidRPr="001B481F" w:rsidRDefault="00F23D64" w:rsidP="006A0F02">
            <w:pPr>
              <w:rPr>
                <w:rFonts w:asciiTheme="minorHAnsi" w:eastAsia="Calibri" w:hAnsiTheme="minorHAnsi" w:cstheme="minorHAnsi"/>
                <w:noProof/>
                <w:sz w:val="20"/>
                <w:szCs w:val="16"/>
              </w:rPr>
            </w:pPr>
            <w:r>
              <w:rPr>
                <w:rFonts w:asciiTheme="minorHAnsi" w:hAnsiTheme="minorHAnsi"/>
                <w:sz w:val="20"/>
                <w:szCs w:val="16"/>
              </w:rPr>
              <w:t>Provincia Autonomă Voivodina</w:t>
            </w:r>
          </w:p>
          <w:p w:rsidR="00BE61DE" w:rsidRPr="001B481F" w:rsidRDefault="00F23D64" w:rsidP="006A0F02">
            <w:pPr>
              <w:rPr>
                <w:rFonts w:asciiTheme="minorHAnsi" w:eastAsia="Calibri" w:hAnsiTheme="minorHAnsi" w:cstheme="minorHAnsi"/>
                <w:b/>
                <w:noProof/>
                <w:sz w:val="20"/>
                <w:szCs w:val="16"/>
              </w:rPr>
            </w:pPr>
            <w:r>
              <w:rPr>
                <w:rFonts w:asciiTheme="minorHAnsi" w:hAnsiTheme="minorHAnsi"/>
                <w:b/>
                <w:sz w:val="20"/>
                <w:szCs w:val="16"/>
              </w:rPr>
              <w:t>Secretariatul Provincial pentru Educaţie, Reglementări, Administraţie</w:t>
            </w:r>
            <w:r>
              <w:rPr>
                <w:rFonts w:asciiTheme="minorHAnsi" w:hAnsiTheme="minorHAnsi"/>
                <w:b/>
                <w:sz w:val="20"/>
                <w:szCs w:val="16"/>
              </w:rPr>
              <w:br/>
              <w:t>şi Minorităţile Naţionale - Comunităţile Naţionale</w:t>
            </w:r>
          </w:p>
          <w:p w:rsidR="00BE61DE" w:rsidRPr="001B481F" w:rsidRDefault="00BE61DE"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Bulevar Mihajla Pupina 16, 21000 Novi Sad</w:t>
            </w: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T: +381 21 487 4608; F +381 21 456 217</w:t>
            </w:r>
          </w:p>
          <w:p w:rsidR="00BE61DE" w:rsidRPr="006D4672" w:rsidRDefault="00340AAA" w:rsidP="00791F4B">
            <w:pPr>
              <w:spacing w:after="200"/>
              <w:rPr>
                <w:rFonts w:eastAsia="Calibri"/>
                <w:noProof/>
                <w:sz w:val="16"/>
                <w:szCs w:val="16"/>
              </w:rPr>
            </w:pPr>
            <w:hyperlink r:id="rId7" w:history="1">
              <w:r w:rsidR="00C3373F">
                <w:rPr>
                  <w:rStyle w:val="Hyperlink"/>
                  <w:rFonts w:asciiTheme="minorHAnsi" w:hAnsiTheme="minorHAnsi"/>
                  <w:color w:val="auto"/>
                  <w:sz w:val="20"/>
                  <w:szCs w:val="16"/>
                </w:rPr>
                <w:t>ounz@vojvodina.gov.s</w:t>
              </w:r>
            </w:hyperlink>
            <w:r w:rsidR="00C3373F">
              <w:rPr>
                <w:sz w:val="20"/>
                <w:szCs w:val="16"/>
              </w:rPr>
              <w:t xml:space="preserve">  </w:t>
            </w:r>
          </w:p>
        </w:tc>
      </w:tr>
      <w:tr w:rsidR="00BE61DE" w:rsidRPr="006D4672" w:rsidTr="001E0F0E">
        <w:trPr>
          <w:trHeight w:val="305"/>
        </w:trPr>
        <w:tc>
          <w:tcPr>
            <w:tcW w:w="2410" w:type="dxa"/>
          </w:tcPr>
          <w:p w:rsidR="00BE61DE" w:rsidRPr="006D4672" w:rsidRDefault="00BE61DE" w:rsidP="006A0F02">
            <w:pPr>
              <w:tabs>
                <w:tab w:val="center" w:pos="4703"/>
                <w:tab w:val="right" w:pos="9406"/>
              </w:tabs>
              <w:ind w:left="-198" w:firstLine="108"/>
              <w:rPr>
                <w:rFonts w:eastAsia="Calibri"/>
                <w:noProof/>
                <w:sz w:val="16"/>
                <w:szCs w:val="16"/>
                <w:lang w:val="sr-Cyrl-CS"/>
              </w:rPr>
            </w:pPr>
          </w:p>
        </w:tc>
        <w:tc>
          <w:tcPr>
            <w:tcW w:w="3483" w:type="dxa"/>
          </w:tcPr>
          <w:p w:rsidR="00BE61DE" w:rsidRPr="001B481F" w:rsidRDefault="00F23D64" w:rsidP="006A0F02">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 xml:space="preserve">NUMĂRUL: </w:t>
            </w:r>
            <w:r>
              <w:rPr>
                <w:rFonts w:asciiTheme="minorHAnsi" w:hAnsiTheme="minorHAnsi"/>
                <w:sz w:val="18"/>
                <w:szCs w:val="18"/>
              </w:rPr>
              <w:t>128-401-5605/2022-05</w:t>
            </w:r>
          </w:p>
          <w:p w:rsidR="001B481F" w:rsidRPr="001B481F" w:rsidRDefault="001B481F" w:rsidP="006A0F02">
            <w:pPr>
              <w:tabs>
                <w:tab w:val="center" w:pos="4703"/>
                <w:tab w:val="right" w:pos="9406"/>
              </w:tabs>
              <w:rPr>
                <w:rFonts w:asciiTheme="minorHAnsi" w:eastAsia="Calibri" w:hAnsiTheme="minorHAnsi" w:cstheme="minorHAnsi"/>
                <w:noProof/>
                <w:sz w:val="18"/>
                <w:szCs w:val="16"/>
                <w:lang w:val="sr-Cyrl-CS"/>
              </w:rPr>
            </w:pPr>
          </w:p>
        </w:tc>
        <w:tc>
          <w:tcPr>
            <w:tcW w:w="4172" w:type="dxa"/>
          </w:tcPr>
          <w:p w:rsidR="00BE61DE" w:rsidRPr="001B481F" w:rsidRDefault="00F23D64" w:rsidP="000034A7">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DATA: 27.05.2022</w:t>
            </w:r>
          </w:p>
        </w:tc>
      </w:tr>
    </w:tbl>
    <w:p w:rsidR="002036F0" w:rsidRPr="006D4672" w:rsidRDefault="00F23D64" w:rsidP="0099098A">
      <w:pPr>
        <w:jc w:val="both"/>
        <w:rPr>
          <w:rFonts w:asciiTheme="minorHAnsi" w:hAnsiTheme="minorHAnsi"/>
          <w:bCs/>
          <w:noProof/>
          <w:sz w:val="22"/>
          <w:szCs w:val="22"/>
        </w:rPr>
      </w:pPr>
      <w:r>
        <w:rPr>
          <w:rFonts w:asciiTheme="minorHAnsi" w:hAnsiTheme="minorHAnsi"/>
          <w:bCs/>
          <w:sz w:val="22"/>
          <w:szCs w:val="22"/>
        </w:rPr>
        <w:t>În baza articolului 11 din Hotărârea Adunării Provinciei privind repartizarea mijlocelor bugetare pentru avansarea poziţiei minorităţilor naţionale - comunităţilor naţionale şi dezvoltarea multiculturalismului şi toleranţei („Buletinul oficial al P.A.V.”, numărul 8/2019), articolelor 15 şi 16 alineatul 5 raportat la articolul 24 alineatul 2 şi articolul 37 alineatul 5 din Hotărârea Adunării Provinciei privind administraţia provincială („Buletinul oficial al P.A.V.“ nr. 37/2014, 54/2014 – altă reglementare, 37/2016 , 29/2017 , 24/2019, 66/2020 și 38/2021), și în baza propunerii pentru acordarea mijloacelor bugetare conform concursului public pentru organizarea competiţiilor regionale „Cât de bine ne cunoaştem” - ediţia a XIV-a în anul 2022,  numărul 128-401-5605/2022-05 din 18.05.2022, a comisiei de concurs pentru desfășurarea procedurii de acordare a mijloacelor bugetare în baza Concursului public pentru organizarea competiţiilor regionale „Cât de bine ne cunoaştem” - ediţia a XIV-a în anul 2022, secretarul provincial pentru educație, reglementări, administrație și minoritățile naționale – comunitățile naționale, emite</w:t>
      </w:r>
    </w:p>
    <w:p w:rsidR="007D6CF8" w:rsidRPr="003C2EFA" w:rsidRDefault="007D6CF8" w:rsidP="002B5C59">
      <w:pPr>
        <w:ind w:firstLine="708"/>
        <w:jc w:val="both"/>
        <w:rPr>
          <w:rFonts w:asciiTheme="minorHAnsi" w:hAnsiTheme="minorHAnsi"/>
          <w:noProof/>
          <w:sz w:val="20"/>
          <w:szCs w:val="20"/>
          <w:lang w:val="sr-Cyrl-RS"/>
        </w:rPr>
      </w:pPr>
    </w:p>
    <w:p w:rsidR="0056396F" w:rsidRPr="006D4672" w:rsidRDefault="00C3373F" w:rsidP="0056396F">
      <w:pPr>
        <w:jc w:val="center"/>
        <w:rPr>
          <w:rFonts w:asciiTheme="minorHAnsi" w:hAnsiTheme="minorHAnsi"/>
          <w:b/>
          <w:noProof/>
          <w:sz w:val="22"/>
          <w:szCs w:val="22"/>
        </w:rPr>
      </w:pPr>
      <w:r>
        <w:rPr>
          <w:rFonts w:asciiTheme="minorHAnsi" w:hAnsiTheme="minorHAnsi"/>
          <w:b/>
          <w:sz w:val="22"/>
          <w:szCs w:val="22"/>
        </w:rPr>
        <w:t>Decizia</w:t>
      </w:r>
    </w:p>
    <w:p w:rsidR="00170FB1" w:rsidRPr="003C2EFA" w:rsidRDefault="00887DE7" w:rsidP="003C2EFA">
      <w:pPr>
        <w:jc w:val="center"/>
        <w:rPr>
          <w:rFonts w:asciiTheme="minorHAnsi" w:hAnsiTheme="minorHAnsi"/>
          <w:b/>
          <w:noProof/>
          <w:sz w:val="22"/>
          <w:szCs w:val="22"/>
        </w:rPr>
      </w:pPr>
      <w:r>
        <w:rPr>
          <w:rFonts w:asciiTheme="minorHAnsi" w:hAnsiTheme="minorHAnsi"/>
          <w:b/>
          <w:sz w:val="22"/>
          <w:szCs w:val="22"/>
        </w:rPr>
        <w:t>p</w:t>
      </w:r>
      <w:r w:rsidR="00C3373F">
        <w:rPr>
          <w:rFonts w:asciiTheme="minorHAnsi" w:hAnsiTheme="minorHAnsi"/>
          <w:b/>
          <w:sz w:val="22"/>
          <w:szCs w:val="22"/>
        </w:rPr>
        <w:t>rivind repartizarea mijloacelor bugetare conform Concursului public pentru organizarea competiţiilor regionale „Cât de bine ne cunoaştem” – ediţia a XIV-a în anul 2022</w:t>
      </w:r>
    </w:p>
    <w:p w:rsidR="001B481F" w:rsidRPr="006D4672" w:rsidRDefault="001B481F" w:rsidP="00517438">
      <w:pPr>
        <w:jc w:val="center"/>
        <w:rPr>
          <w:rFonts w:asciiTheme="minorHAnsi" w:hAnsiTheme="minorHAnsi"/>
          <w:noProof/>
          <w:sz w:val="20"/>
          <w:szCs w:val="20"/>
          <w:lang w:val="sr-Latn-RS"/>
        </w:rPr>
      </w:pPr>
    </w:p>
    <w:p w:rsidR="00E62E02" w:rsidRPr="002272CD" w:rsidRDefault="00F23D64" w:rsidP="0056396F">
      <w:pPr>
        <w:jc w:val="center"/>
        <w:rPr>
          <w:rFonts w:asciiTheme="minorHAnsi" w:hAnsiTheme="minorHAnsi"/>
          <w:b/>
          <w:noProof/>
          <w:sz w:val="20"/>
          <w:szCs w:val="20"/>
        </w:rPr>
      </w:pPr>
      <w:r>
        <w:rPr>
          <w:rFonts w:asciiTheme="minorHAnsi" w:hAnsiTheme="minorHAnsi"/>
          <w:b/>
          <w:sz w:val="20"/>
          <w:szCs w:val="20"/>
        </w:rPr>
        <w:t>I</w:t>
      </w:r>
    </w:p>
    <w:p w:rsidR="00791F4B" w:rsidRDefault="00E0051A" w:rsidP="002F31F9">
      <w:pPr>
        <w:ind w:right="-46" w:firstLine="540"/>
        <w:jc w:val="both"/>
        <w:rPr>
          <w:rFonts w:asciiTheme="minorHAnsi" w:hAnsiTheme="minorHAnsi"/>
          <w:bCs/>
          <w:sz w:val="22"/>
          <w:szCs w:val="22"/>
        </w:rPr>
      </w:pPr>
      <w:r>
        <w:rPr>
          <w:rFonts w:asciiTheme="minorHAnsi" w:hAnsiTheme="minorHAnsi"/>
          <w:bCs/>
          <w:sz w:val="22"/>
          <w:szCs w:val="22"/>
        </w:rPr>
        <w:t>În baza Concursului public pentru organizarea competiţiilor regionale „Cât de bine ne cunoaştem” - ediţia a XIV-a în anul 2022, publicat pe data de 28.04.2022, sub numărul 128-401-5605/2022-05, care a fost publicat în „Buletinul oficial al P.A. Voivodina” numărul 20/2022, pe data de 05.05.2022, mijloacele se alocă următorilor semnatari ai cererilor:</w:t>
      </w:r>
    </w:p>
    <w:p w:rsidR="00340AAA" w:rsidRPr="002F31F9" w:rsidRDefault="00340AAA" w:rsidP="002F31F9">
      <w:pPr>
        <w:ind w:right="-46" w:firstLine="540"/>
        <w:jc w:val="both"/>
        <w:rPr>
          <w:rFonts w:asciiTheme="minorHAnsi" w:hAnsiTheme="minorHAnsi" w:cs="Arial"/>
          <w:bCs/>
          <w:noProof/>
          <w:sz w:val="22"/>
          <w:szCs w:val="22"/>
        </w:rPr>
      </w:pPr>
      <w:bookmarkStart w:id="0" w:name="_GoBack"/>
      <w:bookmarkEnd w:id="0"/>
    </w:p>
    <w:tbl>
      <w:tblPr>
        <w:tblStyle w:val="TableGrid"/>
        <w:tblW w:w="9851" w:type="dxa"/>
        <w:tblInd w:w="-709" w:type="dxa"/>
        <w:tblLook w:val="04A0" w:firstRow="1" w:lastRow="0" w:firstColumn="1" w:lastColumn="0" w:noHBand="0" w:noVBand="1"/>
      </w:tblPr>
      <w:tblGrid>
        <w:gridCol w:w="2952"/>
        <w:gridCol w:w="1867"/>
        <w:gridCol w:w="1445"/>
        <w:gridCol w:w="2531"/>
        <w:gridCol w:w="1056"/>
      </w:tblGrid>
      <w:tr w:rsidR="000034A7" w:rsidTr="006A458F">
        <w:trPr>
          <w:trHeight w:val="594"/>
        </w:trPr>
        <w:tc>
          <w:tcPr>
            <w:tcW w:w="2952" w:type="dxa"/>
            <w:shd w:val="clear" w:color="auto" w:fill="A6A6A6" w:themeFill="background1" w:themeFillShade="A6"/>
            <w:vAlign w:val="center"/>
          </w:tcPr>
          <w:p w:rsidR="000034A7" w:rsidRPr="00E45D32" w:rsidRDefault="000034A7" w:rsidP="006A458F">
            <w:pPr>
              <w:rPr>
                <w:rFonts w:ascii="Calibri" w:eastAsia="Calibri" w:hAnsi="Calibri" w:cs="Calibri"/>
                <w:b/>
                <w:bCs/>
                <w:sz w:val="18"/>
                <w:szCs w:val="18"/>
              </w:rPr>
            </w:pPr>
            <w:r>
              <w:rPr>
                <w:rFonts w:ascii="Calibri" w:hAnsi="Calibri"/>
                <w:b/>
                <w:bCs/>
                <w:sz w:val="18"/>
                <w:szCs w:val="18"/>
              </w:rPr>
              <w:t>Semnatarul cererii</w:t>
            </w:r>
          </w:p>
        </w:tc>
        <w:tc>
          <w:tcPr>
            <w:tcW w:w="1867" w:type="dxa"/>
            <w:shd w:val="clear" w:color="auto" w:fill="A6A6A6" w:themeFill="background1" w:themeFillShade="A6"/>
            <w:vAlign w:val="center"/>
          </w:tcPr>
          <w:p w:rsidR="000034A7" w:rsidRPr="00E45D32" w:rsidRDefault="000034A7" w:rsidP="006A458F">
            <w:pPr>
              <w:rPr>
                <w:rFonts w:ascii="Calibri" w:eastAsia="Calibri" w:hAnsi="Calibri" w:cs="Calibri"/>
                <w:b/>
                <w:bCs/>
                <w:sz w:val="18"/>
                <w:szCs w:val="18"/>
              </w:rPr>
            </w:pPr>
            <w:r>
              <w:rPr>
                <w:rFonts w:ascii="Calibri" w:hAnsi="Calibri"/>
                <w:b/>
                <w:bCs/>
                <w:sz w:val="18"/>
                <w:szCs w:val="18"/>
              </w:rPr>
              <w:t>Localitatea</w:t>
            </w:r>
          </w:p>
        </w:tc>
        <w:tc>
          <w:tcPr>
            <w:tcW w:w="1445" w:type="dxa"/>
            <w:shd w:val="clear" w:color="auto" w:fill="A6A6A6" w:themeFill="background1" w:themeFillShade="A6"/>
            <w:vAlign w:val="center"/>
          </w:tcPr>
          <w:p w:rsidR="000034A7" w:rsidRPr="00E45D32" w:rsidRDefault="000034A7" w:rsidP="000034A7">
            <w:pPr>
              <w:jc w:val="right"/>
              <w:rPr>
                <w:rFonts w:ascii="Calibri" w:eastAsia="Calibri" w:hAnsi="Calibri" w:cs="Calibri"/>
                <w:b/>
                <w:bCs/>
                <w:sz w:val="18"/>
                <w:szCs w:val="18"/>
              </w:rPr>
            </w:pPr>
            <w:r>
              <w:rPr>
                <w:rFonts w:ascii="Calibri" w:hAnsi="Calibri"/>
                <w:b/>
                <w:bCs/>
                <w:sz w:val="18"/>
                <w:szCs w:val="18"/>
              </w:rPr>
              <w:t>Cuantumul de repartizare</w:t>
            </w:r>
          </w:p>
        </w:tc>
        <w:tc>
          <w:tcPr>
            <w:tcW w:w="2531" w:type="dxa"/>
            <w:shd w:val="clear" w:color="auto" w:fill="A6A6A6" w:themeFill="background1" w:themeFillShade="A6"/>
            <w:vAlign w:val="center"/>
          </w:tcPr>
          <w:p w:rsidR="000034A7" w:rsidRPr="00E45D32" w:rsidRDefault="000034A7" w:rsidP="006A458F">
            <w:pPr>
              <w:rPr>
                <w:rFonts w:ascii="Calibri" w:eastAsia="Calibri" w:hAnsi="Calibri" w:cs="Calibri"/>
                <w:b/>
                <w:bCs/>
                <w:sz w:val="18"/>
                <w:szCs w:val="18"/>
              </w:rPr>
            </w:pPr>
            <w:r>
              <w:rPr>
                <w:rFonts w:ascii="Calibri" w:hAnsi="Calibri"/>
                <w:b/>
                <w:bCs/>
                <w:sz w:val="18"/>
                <w:szCs w:val="18"/>
              </w:rPr>
              <w:t>Număr de dosar</w:t>
            </w:r>
          </w:p>
        </w:tc>
        <w:tc>
          <w:tcPr>
            <w:tcW w:w="1056" w:type="dxa"/>
            <w:shd w:val="clear" w:color="auto" w:fill="A6A6A6" w:themeFill="background1" w:themeFillShade="A6"/>
            <w:vAlign w:val="center"/>
          </w:tcPr>
          <w:p w:rsidR="000034A7" w:rsidRPr="00E45D32" w:rsidRDefault="000034A7" w:rsidP="006A458F">
            <w:pPr>
              <w:jc w:val="center"/>
              <w:rPr>
                <w:rFonts w:ascii="Calibri" w:eastAsia="Calibri" w:hAnsi="Calibri" w:cs="Calibri"/>
                <w:b/>
                <w:bCs/>
                <w:sz w:val="18"/>
                <w:szCs w:val="18"/>
              </w:rPr>
            </w:pPr>
            <w:r>
              <w:rPr>
                <w:rFonts w:ascii="Calibri" w:hAnsi="Calibri"/>
                <w:b/>
                <w:bCs/>
                <w:sz w:val="18"/>
                <w:szCs w:val="18"/>
              </w:rPr>
              <w:t>Numărul</w:t>
            </w:r>
          </w:p>
          <w:p w:rsidR="000034A7" w:rsidRPr="00782027" w:rsidRDefault="000034A7" w:rsidP="006A458F">
            <w:pPr>
              <w:jc w:val="center"/>
              <w:rPr>
                <w:rFonts w:ascii="Calibri" w:eastAsia="Calibri" w:hAnsi="Calibri" w:cs="Calibri"/>
                <w:b/>
                <w:bCs/>
                <w:sz w:val="18"/>
                <w:szCs w:val="18"/>
              </w:rPr>
            </w:pPr>
            <w:r>
              <w:rPr>
                <w:rFonts w:ascii="Calibri" w:hAnsi="Calibri"/>
                <w:b/>
                <w:bCs/>
                <w:sz w:val="18"/>
                <w:szCs w:val="18"/>
              </w:rPr>
              <w:t>puncte</w:t>
            </w:r>
          </w:p>
        </w:tc>
      </w:tr>
      <w:tr w:rsidR="000034A7" w:rsidTr="006A458F">
        <w:trPr>
          <w:trHeight w:val="604"/>
        </w:trPr>
        <w:tc>
          <w:tcPr>
            <w:tcW w:w="2952" w:type="dxa"/>
            <w:vAlign w:val="center"/>
          </w:tcPr>
          <w:p w:rsidR="000034A7" w:rsidRPr="00782027" w:rsidRDefault="000034A7" w:rsidP="006A458F">
            <w:pPr>
              <w:rPr>
                <w:rFonts w:asciiTheme="minorHAnsi" w:hAnsiTheme="minorHAnsi" w:cs="Arial"/>
                <w:sz w:val="18"/>
                <w:szCs w:val="18"/>
              </w:rPr>
            </w:pPr>
            <w:r>
              <w:rPr>
                <w:rFonts w:asciiTheme="minorHAnsi" w:hAnsiTheme="minorHAnsi"/>
                <w:sz w:val="18"/>
                <w:szCs w:val="18"/>
              </w:rPr>
              <w:t>Centrul pentru formarea profesională a angajaților în domeniuul învățământului</w:t>
            </w:r>
          </w:p>
        </w:tc>
        <w:tc>
          <w:tcPr>
            <w:tcW w:w="1867" w:type="dxa"/>
            <w:vAlign w:val="center"/>
          </w:tcPr>
          <w:p w:rsidR="000034A7" w:rsidRPr="00782027" w:rsidRDefault="000034A7" w:rsidP="006A458F">
            <w:pPr>
              <w:rPr>
                <w:rFonts w:asciiTheme="minorHAnsi" w:hAnsiTheme="minorHAnsi" w:cs="Arial"/>
                <w:sz w:val="18"/>
                <w:szCs w:val="18"/>
              </w:rPr>
            </w:pPr>
            <w:r>
              <w:rPr>
                <w:rFonts w:asciiTheme="minorHAnsi" w:hAnsiTheme="minorHAnsi"/>
                <w:sz w:val="18"/>
                <w:szCs w:val="18"/>
              </w:rPr>
              <w:t>Sombor</w:t>
            </w:r>
          </w:p>
        </w:tc>
        <w:tc>
          <w:tcPr>
            <w:tcW w:w="1445" w:type="dxa"/>
            <w:vAlign w:val="center"/>
          </w:tcPr>
          <w:p w:rsidR="000034A7" w:rsidRPr="00782027" w:rsidRDefault="000034A7" w:rsidP="006A458F">
            <w:pPr>
              <w:jc w:val="right"/>
              <w:rPr>
                <w:rFonts w:asciiTheme="minorHAnsi" w:hAnsiTheme="minorHAnsi" w:cs="Arial"/>
                <w:sz w:val="18"/>
                <w:szCs w:val="18"/>
              </w:rPr>
            </w:pPr>
            <w:r>
              <w:rPr>
                <w:rFonts w:asciiTheme="minorHAnsi" w:hAnsiTheme="minorHAnsi"/>
                <w:sz w:val="18"/>
                <w:szCs w:val="18"/>
              </w:rPr>
              <w:t>155.000,00</w:t>
            </w:r>
          </w:p>
        </w:tc>
        <w:tc>
          <w:tcPr>
            <w:tcW w:w="2531" w:type="dxa"/>
            <w:vAlign w:val="center"/>
          </w:tcPr>
          <w:p w:rsidR="000034A7" w:rsidRPr="002560C9" w:rsidRDefault="000034A7" w:rsidP="006A458F">
            <w:pPr>
              <w:rPr>
                <w:rFonts w:asciiTheme="minorHAnsi" w:hAnsiTheme="minorHAnsi" w:cs="Arial"/>
                <w:sz w:val="18"/>
                <w:szCs w:val="18"/>
              </w:rPr>
            </w:pPr>
            <w:r>
              <w:rPr>
                <w:rFonts w:asciiTheme="minorHAnsi" w:hAnsiTheme="minorHAnsi"/>
                <w:sz w:val="18"/>
                <w:szCs w:val="18"/>
              </w:rPr>
              <w:t>128-401-5605/01.05.2022</w:t>
            </w:r>
          </w:p>
        </w:tc>
        <w:tc>
          <w:tcPr>
            <w:tcW w:w="1056" w:type="dxa"/>
            <w:vAlign w:val="center"/>
          </w:tcPr>
          <w:p w:rsidR="000034A7" w:rsidRPr="00782027" w:rsidRDefault="000034A7" w:rsidP="006A458F">
            <w:pPr>
              <w:jc w:val="center"/>
              <w:rPr>
                <w:rFonts w:asciiTheme="minorHAnsi" w:hAnsiTheme="minorHAnsi" w:cs="Arial"/>
                <w:sz w:val="18"/>
                <w:szCs w:val="18"/>
              </w:rPr>
            </w:pPr>
            <w:r>
              <w:rPr>
                <w:rFonts w:asciiTheme="minorHAnsi" w:hAnsiTheme="minorHAnsi"/>
                <w:sz w:val="18"/>
                <w:szCs w:val="18"/>
              </w:rPr>
              <w:t>22</w:t>
            </w:r>
          </w:p>
        </w:tc>
      </w:tr>
      <w:tr w:rsidR="000034A7" w:rsidTr="006A458F">
        <w:trPr>
          <w:trHeight w:val="399"/>
        </w:trPr>
        <w:tc>
          <w:tcPr>
            <w:tcW w:w="2952" w:type="dxa"/>
            <w:vAlign w:val="center"/>
          </w:tcPr>
          <w:p w:rsidR="000034A7" w:rsidRPr="00782027" w:rsidRDefault="000034A7" w:rsidP="006A458F">
            <w:pPr>
              <w:rPr>
                <w:rFonts w:asciiTheme="minorHAnsi" w:hAnsiTheme="minorHAnsi" w:cs="Arial"/>
                <w:sz w:val="18"/>
                <w:szCs w:val="18"/>
              </w:rPr>
            </w:pPr>
            <w:r>
              <w:rPr>
                <w:rFonts w:asciiTheme="minorHAnsi" w:hAnsiTheme="minorHAnsi"/>
                <w:sz w:val="18"/>
                <w:szCs w:val="18"/>
              </w:rPr>
              <w:t>Şcoala Elementară „23. oktobar”</w:t>
            </w:r>
          </w:p>
        </w:tc>
        <w:tc>
          <w:tcPr>
            <w:tcW w:w="1867" w:type="dxa"/>
            <w:vAlign w:val="center"/>
          </w:tcPr>
          <w:p w:rsidR="000034A7" w:rsidRPr="00782027" w:rsidRDefault="000034A7" w:rsidP="006A458F">
            <w:pPr>
              <w:rPr>
                <w:rFonts w:asciiTheme="minorHAnsi" w:hAnsiTheme="minorHAnsi" w:cs="Arial"/>
                <w:sz w:val="18"/>
                <w:szCs w:val="18"/>
              </w:rPr>
            </w:pPr>
            <w:r>
              <w:rPr>
                <w:rFonts w:asciiTheme="minorHAnsi" w:hAnsiTheme="minorHAnsi"/>
                <w:sz w:val="18"/>
                <w:szCs w:val="18"/>
              </w:rPr>
              <w:t>Sremski Karlovci</w:t>
            </w:r>
          </w:p>
        </w:tc>
        <w:tc>
          <w:tcPr>
            <w:tcW w:w="1445" w:type="dxa"/>
            <w:vAlign w:val="center"/>
          </w:tcPr>
          <w:p w:rsidR="000034A7" w:rsidRPr="00782027" w:rsidRDefault="000034A7" w:rsidP="006A458F">
            <w:pPr>
              <w:jc w:val="right"/>
              <w:rPr>
                <w:rFonts w:asciiTheme="minorHAnsi" w:hAnsiTheme="minorHAnsi" w:cs="Arial"/>
                <w:sz w:val="18"/>
                <w:szCs w:val="18"/>
              </w:rPr>
            </w:pPr>
            <w:r>
              <w:rPr>
                <w:rFonts w:asciiTheme="minorHAnsi" w:hAnsiTheme="minorHAnsi"/>
                <w:sz w:val="18"/>
                <w:szCs w:val="18"/>
              </w:rPr>
              <w:t>85.000,00</w:t>
            </w:r>
          </w:p>
        </w:tc>
        <w:tc>
          <w:tcPr>
            <w:tcW w:w="2531" w:type="dxa"/>
            <w:vAlign w:val="center"/>
          </w:tcPr>
          <w:p w:rsidR="000034A7" w:rsidRPr="002560C9" w:rsidRDefault="000034A7" w:rsidP="006A458F">
            <w:pPr>
              <w:rPr>
                <w:rFonts w:asciiTheme="minorHAnsi" w:hAnsiTheme="minorHAnsi" w:cs="Arial"/>
                <w:sz w:val="18"/>
                <w:szCs w:val="18"/>
              </w:rPr>
            </w:pPr>
            <w:r>
              <w:rPr>
                <w:rFonts w:asciiTheme="minorHAnsi" w:hAnsiTheme="minorHAnsi"/>
                <w:sz w:val="18"/>
                <w:szCs w:val="18"/>
              </w:rPr>
              <w:t>128-401-5605/03.05.2022</w:t>
            </w:r>
          </w:p>
        </w:tc>
        <w:tc>
          <w:tcPr>
            <w:tcW w:w="1056" w:type="dxa"/>
            <w:vAlign w:val="center"/>
          </w:tcPr>
          <w:p w:rsidR="000034A7" w:rsidRPr="00782027" w:rsidRDefault="000034A7" w:rsidP="006A458F">
            <w:pPr>
              <w:jc w:val="center"/>
              <w:rPr>
                <w:rFonts w:asciiTheme="minorHAnsi" w:hAnsiTheme="minorHAnsi" w:cs="Arial"/>
                <w:sz w:val="18"/>
                <w:szCs w:val="18"/>
              </w:rPr>
            </w:pPr>
            <w:r>
              <w:rPr>
                <w:rFonts w:asciiTheme="minorHAnsi" w:hAnsiTheme="minorHAnsi"/>
                <w:sz w:val="18"/>
                <w:szCs w:val="18"/>
              </w:rPr>
              <w:t>19</w:t>
            </w:r>
          </w:p>
        </w:tc>
      </w:tr>
      <w:tr w:rsidR="00061363" w:rsidTr="006A458F">
        <w:trPr>
          <w:trHeight w:val="399"/>
        </w:trPr>
        <w:tc>
          <w:tcPr>
            <w:tcW w:w="2952" w:type="dxa"/>
            <w:vAlign w:val="center"/>
          </w:tcPr>
          <w:p w:rsidR="00061363" w:rsidRPr="00782027" w:rsidRDefault="00061363" w:rsidP="00061363">
            <w:pPr>
              <w:rPr>
                <w:rFonts w:asciiTheme="minorHAnsi" w:hAnsiTheme="minorHAnsi" w:cs="Arial"/>
                <w:sz w:val="18"/>
                <w:szCs w:val="18"/>
              </w:rPr>
            </w:pPr>
            <w:r>
              <w:rPr>
                <w:rFonts w:asciiTheme="minorHAnsi" w:hAnsiTheme="minorHAnsi"/>
                <w:sz w:val="18"/>
                <w:szCs w:val="18"/>
              </w:rPr>
              <w:t>Centrul Cultural Educativ Thurzó Lajos</w:t>
            </w:r>
          </w:p>
        </w:tc>
        <w:tc>
          <w:tcPr>
            <w:tcW w:w="1867" w:type="dxa"/>
            <w:vAlign w:val="center"/>
          </w:tcPr>
          <w:p w:rsidR="00061363" w:rsidRPr="00782027" w:rsidRDefault="00061363" w:rsidP="00061363">
            <w:pPr>
              <w:rPr>
                <w:rFonts w:asciiTheme="minorHAnsi" w:hAnsiTheme="minorHAnsi" w:cs="Arial"/>
                <w:sz w:val="18"/>
                <w:szCs w:val="18"/>
              </w:rPr>
            </w:pPr>
            <w:r>
              <w:rPr>
                <w:rFonts w:asciiTheme="minorHAnsi" w:hAnsiTheme="minorHAnsi"/>
                <w:sz w:val="18"/>
                <w:szCs w:val="18"/>
              </w:rPr>
              <w:t>Senta</w:t>
            </w:r>
          </w:p>
        </w:tc>
        <w:tc>
          <w:tcPr>
            <w:tcW w:w="1445" w:type="dxa"/>
            <w:vAlign w:val="center"/>
          </w:tcPr>
          <w:p w:rsidR="00061363" w:rsidRPr="00651356" w:rsidRDefault="00651356" w:rsidP="00061363">
            <w:pPr>
              <w:jc w:val="right"/>
              <w:rPr>
                <w:rFonts w:asciiTheme="minorHAnsi" w:hAnsiTheme="minorHAnsi" w:cs="Arial"/>
                <w:sz w:val="18"/>
                <w:szCs w:val="18"/>
              </w:rPr>
            </w:pPr>
            <w:r>
              <w:rPr>
                <w:rFonts w:asciiTheme="minorHAnsi" w:hAnsiTheme="minorHAnsi"/>
                <w:sz w:val="18"/>
                <w:szCs w:val="18"/>
              </w:rPr>
              <w:t>25.000,00</w:t>
            </w:r>
          </w:p>
        </w:tc>
        <w:tc>
          <w:tcPr>
            <w:tcW w:w="2531" w:type="dxa"/>
            <w:vAlign w:val="center"/>
          </w:tcPr>
          <w:p w:rsidR="00061363" w:rsidRPr="00651356" w:rsidRDefault="00061363" w:rsidP="00061363">
            <w:pPr>
              <w:rPr>
                <w:rFonts w:asciiTheme="minorHAnsi" w:hAnsiTheme="minorHAnsi" w:cs="Arial"/>
                <w:sz w:val="18"/>
                <w:szCs w:val="18"/>
              </w:rPr>
            </w:pPr>
            <w:r>
              <w:rPr>
                <w:rFonts w:asciiTheme="minorHAnsi" w:hAnsiTheme="minorHAnsi"/>
                <w:sz w:val="18"/>
                <w:szCs w:val="18"/>
              </w:rPr>
              <w:t>128-401-5605/02.05.2022</w:t>
            </w:r>
          </w:p>
        </w:tc>
        <w:tc>
          <w:tcPr>
            <w:tcW w:w="1056" w:type="dxa"/>
            <w:vAlign w:val="center"/>
          </w:tcPr>
          <w:p w:rsidR="00061363" w:rsidRPr="00782027" w:rsidRDefault="00061363" w:rsidP="00061363">
            <w:pPr>
              <w:jc w:val="center"/>
              <w:rPr>
                <w:rFonts w:asciiTheme="minorHAnsi" w:hAnsiTheme="minorHAnsi" w:cs="Arial"/>
                <w:sz w:val="18"/>
                <w:szCs w:val="18"/>
              </w:rPr>
            </w:pPr>
            <w:r>
              <w:rPr>
                <w:rFonts w:asciiTheme="minorHAnsi" w:hAnsiTheme="minorHAnsi"/>
                <w:sz w:val="18"/>
                <w:szCs w:val="18"/>
              </w:rPr>
              <w:t>15</w:t>
            </w:r>
          </w:p>
        </w:tc>
      </w:tr>
    </w:tbl>
    <w:p w:rsidR="00370053" w:rsidRDefault="00370053" w:rsidP="002B5C59">
      <w:pPr>
        <w:rPr>
          <w:rFonts w:asciiTheme="minorHAnsi" w:hAnsiTheme="minorHAnsi"/>
          <w:b/>
          <w:noProof/>
          <w:sz w:val="20"/>
          <w:szCs w:val="20"/>
        </w:rPr>
      </w:pPr>
    </w:p>
    <w:p w:rsidR="005175D5" w:rsidRDefault="00F23D64" w:rsidP="0056396F">
      <w:pPr>
        <w:jc w:val="center"/>
        <w:rPr>
          <w:rFonts w:asciiTheme="minorHAnsi" w:hAnsiTheme="minorHAnsi"/>
          <w:b/>
          <w:noProof/>
          <w:sz w:val="20"/>
          <w:szCs w:val="20"/>
        </w:rPr>
      </w:pPr>
      <w:r>
        <w:rPr>
          <w:rFonts w:asciiTheme="minorHAnsi" w:hAnsiTheme="minorHAnsi"/>
          <w:b/>
          <w:sz w:val="20"/>
          <w:szCs w:val="20"/>
        </w:rPr>
        <w:t>II</w:t>
      </w:r>
    </w:p>
    <w:p w:rsidR="009E3004" w:rsidRDefault="00F23D64" w:rsidP="009E3004">
      <w:pPr>
        <w:ind w:firstLine="709"/>
        <w:jc w:val="both"/>
        <w:rPr>
          <w:rFonts w:asciiTheme="minorHAnsi" w:hAnsiTheme="minorHAnsi"/>
          <w:noProof/>
          <w:sz w:val="22"/>
          <w:szCs w:val="22"/>
        </w:rPr>
      </w:pPr>
      <w:r>
        <w:rPr>
          <w:rFonts w:asciiTheme="minorHAnsi" w:hAnsiTheme="minorHAnsi"/>
          <w:sz w:val="22"/>
          <w:szCs w:val="22"/>
        </w:rPr>
        <w:t>Prezenta decizie privind alegerea programelor/proiectelor va fi publicată pe pagina oficială de internet a Secretariatului Provincial.</w:t>
      </w:r>
    </w:p>
    <w:p w:rsidR="0056396F" w:rsidRDefault="00F23D64" w:rsidP="009E3004">
      <w:pPr>
        <w:jc w:val="center"/>
        <w:rPr>
          <w:rFonts w:asciiTheme="minorHAnsi" w:hAnsiTheme="minorHAnsi"/>
          <w:b/>
          <w:noProof/>
          <w:sz w:val="22"/>
          <w:szCs w:val="22"/>
        </w:rPr>
      </w:pPr>
      <w:r>
        <w:rPr>
          <w:rFonts w:asciiTheme="minorHAnsi" w:hAnsiTheme="minorHAnsi"/>
          <w:b/>
          <w:sz w:val="22"/>
          <w:szCs w:val="22"/>
        </w:rPr>
        <w:t>Expunerea de motive:</w:t>
      </w:r>
    </w:p>
    <w:p w:rsidR="009E3004" w:rsidRPr="006D4672" w:rsidRDefault="009E3004" w:rsidP="009E3004">
      <w:pPr>
        <w:ind w:firstLine="709"/>
        <w:jc w:val="center"/>
        <w:rPr>
          <w:rFonts w:asciiTheme="minorHAnsi" w:hAnsiTheme="minorHAnsi"/>
          <w:b/>
          <w:noProof/>
          <w:sz w:val="22"/>
          <w:szCs w:val="22"/>
          <w:lang w:val="sr-Cyrl-CS"/>
        </w:rPr>
      </w:pPr>
    </w:p>
    <w:p w:rsidR="003C629D" w:rsidRPr="006D4672" w:rsidRDefault="003C629D" w:rsidP="00466F11">
      <w:pPr>
        <w:ind w:firstLine="708"/>
        <w:jc w:val="both"/>
        <w:rPr>
          <w:rFonts w:asciiTheme="minorHAnsi" w:hAnsiTheme="minorHAnsi" w:cs="Arial"/>
          <w:bCs/>
          <w:noProof/>
          <w:sz w:val="22"/>
          <w:szCs w:val="22"/>
        </w:rPr>
      </w:pPr>
      <w:r>
        <w:rPr>
          <w:rFonts w:asciiTheme="minorHAnsi" w:hAnsiTheme="minorHAnsi"/>
          <w:bCs/>
          <w:sz w:val="22"/>
          <w:szCs w:val="22"/>
        </w:rPr>
        <w:t>În baza articolului 11, raportat la articolul 24 și 26 din Hotărârea Adunării Provinciei privind bugetul Provinciei Autonome Voivodina pentru anul 2022 („Buletinul oficial al P.A.V.”, nr. 54/2021 şi 7/2022-reechilibrare) şi art. 7 din Hotărârea Adunării Provinciei privind repartizarea mijloacelor bugetare pentru avansarea statutului minorităţilor naţionale - comunităţilor naţionale şi dezvoltarea multiculturalismului şi toleranţei ("Buletinul oficial al PAV", numărul 8/2019), Secretariatul Provincial pentru Educaţie, Reglementări, Administrație și Minoritățile Naționale – Comunitățile Naționale, pe data de 28.04.2022, a publicat Concursul public pentru organizarea competiţiilor regionale „Cât de bine ne cunoaştem” - ediţia a XIV-a în anul 2022, sub numărul 128-401-5605/2022-5.</w:t>
      </w:r>
    </w:p>
    <w:p w:rsidR="00981301" w:rsidRPr="006D4672" w:rsidRDefault="00981301" w:rsidP="00AD36DB">
      <w:pPr>
        <w:ind w:firstLine="708"/>
        <w:jc w:val="both"/>
        <w:rPr>
          <w:rFonts w:asciiTheme="minorHAnsi" w:hAnsiTheme="minorHAnsi" w:cs="Arial"/>
          <w:bCs/>
          <w:noProof/>
          <w:sz w:val="22"/>
          <w:szCs w:val="22"/>
        </w:rPr>
      </w:pPr>
      <w:r>
        <w:rPr>
          <w:rFonts w:asciiTheme="minorHAnsi" w:hAnsiTheme="minorHAnsi"/>
          <w:bCs/>
          <w:sz w:val="22"/>
          <w:szCs w:val="22"/>
        </w:rPr>
        <w:t xml:space="preserve">Prin Hotărârea Adunării Provinciei privind repartizarea mijlocelor bugetare pentru avansarea poziţiei minorităţilor naţionale - comunităţilor naţionale şi dezvoltarea multiculturalismului şi </w:t>
      </w:r>
      <w:r>
        <w:rPr>
          <w:rFonts w:asciiTheme="minorHAnsi" w:hAnsiTheme="minorHAnsi"/>
          <w:bCs/>
          <w:sz w:val="22"/>
          <w:szCs w:val="22"/>
        </w:rPr>
        <w:lastRenderedPageBreak/>
        <w:t>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696613" w:rsidRPr="006D4672" w:rsidRDefault="00F23D64" w:rsidP="00ED7D0E">
      <w:pPr>
        <w:ind w:firstLine="708"/>
        <w:jc w:val="both"/>
        <w:rPr>
          <w:rFonts w:asciiTheme="minorHAnsi" w:hAnsiTheme="minorHAnsi"/>
          <w:noProof/>
          <w:sz w:val="22"/>
          <w:szCs w:val="22"/>
        </w:rPr>
      </w:pPr>
      <w:r>
        <w:rPr>
          <w:rFonts w:asciiTheme="minorHAnsi" w:hAnsiTheme="minorHAnsi"/>
          <w:sz w:val="22"/>
          <w:szCs w:val="22"/>
        </w:rPr>
        <w:t>Mijloacele menţionate se asigură în bugetul P.A. Voivodina şi se ţin în partea specială a bugetului organului provincial al administraţiei competent pentru domeniul minorităţilor naţionale - comunităţilor naţionale.</w:t>
      </w:r>
    </w:p>
    <w:p w:rsidR="005B20FA" w:rsidRPr="006D4672" w:rsidRDefault="00F23D64" w:rsidP="00ED7D0E">
      <w:pPr>
        <w:ind w:firstLine="708"/>
        <w:jc w:val="both"/>
        <w:rPr>
          <w:rFonts w:asciiTheme="minorHAnsi" w:hAnsiTheme="minorHAnsi"/>
          <w:noProof/>
          <w:sz w:val="22"/>
          <w:szCs w:val="22"/>
        </w:rPr>
      </w:pPr>
      <w:r>
        <w:rPr>
          <w:rFonts w:asciiTheme="minorHAnsi" w:hAnsiTheme="minorHAnsi"/>
          <w:sz w:val="22"/>
          <w:szCs w:val="22"/>
        </w:rPr>
        <w:t>În baza concursului realizat în conformitate cu articolele 24 și 26 din Hotărârea Adunării Provinciei privind bugetul Provinciei Autonome Voivodina pentru anul 2022 („Buletinul oficial al P.A.V.”, nr. 54/2021 şi 7/2022-reechilibrare) și în baza volumului de mijloace asigurate pentru destinațiile menționate, stabilite la articolull 11 din aceeași hotărâre, se efectuează repartizarea mijloacelor conform cererilor sosite la concurs</w:t>
      </w:r>
    </w:p>
    <w:p w:rsidR="00ED7D0E" w:rsidRPr="006D4672" w:rsidRDefault="00ED7D0E" w:rsidP="00ED7D0E">
      <w:pPr>
        <w:ind w:firstLine="708"/>
        <w:jc w:val="both"/>
        <w:rPr>
          <w:rFonts w:asciiTheme="minorHAnsi" w:hAnsiTheme="minorHAnsi"/>
          <w:noProof/>
          <w:sz w:val="22"/>
          <w:szCs w:val="22"/>
        </w:rPr>
      </w:pPr>
      <w:r>
        <w:rPr>
          <w:rFonts w:asciiTheme="minorHAnsi" w:hAnsiTheme="minorHAnsi"/>
          <w:sz w:val="22"/>
          <w:szCs w:val="22"/>
        </w:rPr>
        <w:t>Prin articolul 15 din Hotărârea Adunării Provinciei privind administraţia provincială („Buletinul oficial al P.A.V.“ nr.</w:t>
      </w:r>
      <w:r>
        <w:rPr>
          <w:rFonts w:asciiTheme="minorHAnsi" w:hAnsiTheme="minorHAnsi"/>
          <w:bCs/>
          <w:sz w:val="22"/>
          <w:szCs w:val="22"/>
        </w:rPr>
        <w:t xml:space="preserve"> 37/2014, 54/2014 – altă reglementare, 37/2016 , 29/2017 , 24/2019, 66/2020 și 38/2021)</w:t>
      </w:r>
      <w:r>
        <w:rPr>
          <w:rFonts w:asciiTheme="minorHAnsi" w:hAnsiTheme="minorHAnsi"/>
          <w:sz w:val="22"/>
          <w:szCs w:val="22"/>
        </w:rPr>
        <w:t xml:space="preserve">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 În conformitate cu art. 24 alineatul 2,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 Secretariatulpentru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8D1BF1" w:rsidRDefault="005B6D5B" w:rsidP="000B7853">
      <w:pPr>
        <w:ind w:firstLine="708"/>
        <w:jc w:val="both"/>
        <w:rPr>
          <w:rFonts w:asciiTheme="minorHAnsi" w:hAnsiTheme="minorHAnsi"/>
          <w:noProof/>
          <w:sz w:val="22"/>
          <w:szCs w:val="22"/>
        </w:rPr>
      </w:pPr>
      <w:r>
        <w:rPr>
          <w:rFonts w:asciiTheme="minorHAnsi" w:hAnsiTheme="minorHAnsi"/>
          <w:bCs/>
          <w:sz w:val="22"/>
          <w:szCs w:val="22"/>
        </w:rPr>
        <w:t xml:space="preserve">Comisia de concurs pentru desfășurarea procedurii de acordare a mijloacelor bugetare în baza Concursului public pentru organizarea competiţiilor regionale „Cât de bine ne cunoaştem” - ediţia a XIV-a în anul 2022, este înființată prin decizia numărul 128-401-5605/2022-05 din 17.05.2022. Comisia s-a întrunit  pe data de 18.05.2022 şi în urma examinării şi evaluării cererilor depuse, a stabilit lista evaluării, punctajul şi clasamentul  semnatarilor cererilor prezentate care a fost publicată pe pagina de internet a Secretariatului Provincial în data de 18.05.2022. Participanții la concurs au avut drept la recurs împotriva evaluării și clasificării programelor/proiectelor anunţate, în termen de 8 zile de la data publicării acesteia. </w:t>
      </w:r>
      <w:r>
        <w:rPr>
          <w:rFonts w:asciiTheme="minorHAnsi" w:hAnsiTheme="minorHAnsi"/>
          <w:sz w:val="22"/>
          <w:szCs w:val="22"/>
        </w:rPr>
        <w:t xml:space="preserve">În urma expirării termenului de prezentare a recursului, Comisia de concurs a trimis propunerea către secretarul provincial pentru emiterea deciziei definitive cu privire la repartizarea mijloacelor conform Concursului public pentru organizarea competiţiilor regionale „Cât de bine ne cunoaştem” - ediţia a XIV-a în anul 2022. </w:t>
      </w:r>
    </w:p>
    <w:p w:rsidR="0056396F" w:rsidRPr="006D4672" w:rsidRDefault="00F23D64" w:rsidP="000B7853">
      <w:pPr>
        <w:ind w:firstLine="708"/>
        <w:jc w:val="both"/>
        <w:rPr>
          <w:rFonts w:asciiTheme="minorHAnsi" w:hAnsiTheme="minorHAnsi"/>
          <w:noProof/>
          <w:sz w:val="22"/>
          <w:szCs w:val="22"/>
        </w:rPr>
      </w:pPr>
      <w:r>
        <w:rPr>
          <w:rFonts w:asciiTheme="minorHAnsi" w:hAnsiTheme="minorHAnsi"/>
          <w:sz w:val="22"/>
          <w:szCs w:val="22"/>
        </w:rPr>
        <w:t>În conformitate cu cele menționate, raportat la articolul 11</w:t>
      </w:r>
      <w:r>
        <w:rPr>
          <w:rFonts w:asciiTheme="minorHAnsi" w:hAnsiTheme="minorHAnsi"/>
          <w:bCs/>
          <w:sz w:val="22"/>
          <w:szCs w:val="22"/>
        </w:rPr>
        <w:t xml:space="preserve"> </w:t>
      </w:r>
      <w:r>
        <w:rPr>
          <w:rFonts w:asciiTheme="minorHAnsi" w:hAnsiTheme="minorHAnsi"/>
          <w:sz w:val="22"/>
          <w:szCs w:val="22"/>
        </w:rPr>
        <w:t>din Hotărârea Adunării Provinciei privind repartizarea mijloacelor bugetare pentru avansarea statutului minorităţilor naţionale - comunităţilor naţionale şi dezvoltarea multiculturalismului şi toleranţei ("Buletinul oficial al PAV", numărul 8/2019), la propunerea Comisiei de concurs care desfăşoară procedura de repartizare a mijloacelor bugetare în baza Concursului public pentru organizarea competiţiilor regionale „Cât de bine ne cunoaştem” - ediţia a XIV-a în anul 2022, secretarul provincial pentru educaţie, reglementări, administraţie şi minorităţile naţionale - comunităţile naţionale, a emis decizia precum în dispozitiv.</w:t>
      </w:r>
    </w:p>
    <w:p w:rsidR="00F36FE4" w:rsidRPr="006D4672" w:rsidRDefault="00F36FE4" w:rsidP="000B7853">
      <w:pPr>
        <w:ind w:firstLine="708"/>
        <w:jc w:val="both"/>
        <w:rPr>
          <w:rFonts w:asciiTheme="minorHAnsi" w:hAnsiTheme="minorHAnsi"/>
          <w:bCs/>
          <w:noProof/>
          <w:sz w:val="22"/>
          <w:szCs w:val="22"/>
          <w:lang w:val="sr-Latn-RS"/>
        </w:rPr>
      </w:pPr>
    </w:p>
    <w:p w:rsidR="0056396F" w:rsidRPr="002F31F9" w:rsidRDefault="004C487B" w:rsidP="002F31F9">
      <w:pPr>
        <w:ind w:firstLine="708"/>
        <w:jc w:val="both"/>
        <w:rPr>
          <w:rFonts w:asciiTheme="minorHAnsi" w:hAnsiTheme="minorHAnsi"/>
          <w:noProof/>
          <w:sz w:val="22"/>
          <w:szCs w:val="22"/>
        </w:rPr>
      </w:pPr>
      <w:r>
        <w:rPr>
          <w:rFonts w:asciiTheme="minorHAnsi" w:hAnsiTheme="minorHAnsi"/>
          <w:sz w:val="22"/>
          <w:szCs w:val="22"/>
        </w:rPr>
        <w:t>P</w:t>
      </w:r>
      <w:r w:rsidR="002F31F9">
        <w:rPr>
          <w:rFonts w:asciiTheme="minorHAnsi" w:hAnsiTheme="minorHAnsi"/>
          <w:sz w:val="22"/>
          <w:szCs w:val="22"/>
        </w:rPr>
        <w:t>rezenta decizie este definitivă</w:t>
      </w:r>
    </w:p>
    <w:p w:rsidR="00D0326D" w:rsidRPr="00D0326D" w:rsidRDefault="00D0326D" w:rsidP="00D0326D">
      <w:pPr>
        <w:tabs>
          <w:tab w:val="center" w:pos="7088"/>
        </w:tabs>
        <w:jc w:val="both"/>
        <w:rPr>
          <w:rFonts w:ascii="Calibri" w:hAnsi="Calibri"/>
          <w:sz w:val="22"/>
          <w:szCs w:val="20"/>
        </w:rPr>
      </w:pPr>
      <w:r>
        <w:rPr>
          <w:rFonts w:ascii="Calibri" w:hAnsi="Calibri"/>
          <w:sz w:val="22"/>
          <w:szCs w:val="20"/>
        </w:rPr>
        <w:tab/>
        <w:t>Secretarul provincial</w:t>
      </w:r>
    </w:p>
    <w:p w:rsidR="00D0326D" w:rsidRPr="00D0326D" w:rsidRDefault="00D0326D" w:rsidP="00D0326D">
      <w:pPr>
        <w:tabs>
          <w:tab w:val="center" w:pos="7088"/>
        </w:tabs>
        <w:jc w:val="both"/>
        <w:rPr>
          <w:rFonts w:ascii="Calibri" w:hAnsi="Calibri"/>
          <w:sz w:val="22"/>
          <w:szCs w:val="20"/>
          <w:lang w:val="sr-Cyrl-RS"/>
        </w:rPr>
      </w:pPr>
    </w:p>
    <w:p w:rsidR="00F870FF" w:rsidRPr="00D0326D" w:rsidRDefault="00D0326D" w:rsidP="00D0326D">
      <w:pPr>
        <w:tabs>
          <w:tab w:val="center" w:pos="7088"/>
        </w:tabs>
        <w:jc w:val="both"/>
        <w:rPr>
          <w:rFonts w:ascii="Calibri" w:hAnsi="Calibri"/>
          <w:sz w:val="22"/>
          <w:szCs w:val="20"/>
        </w:rPr>
      </w:pPr>
      <w:r>
        <w:rPr>
          <w:rFonts w:ascii="Calibri" w:hAnsi="Calibri"/>
          <w:sz w:val="22"/>
          <w:szCs w:val="20"/>
        </w:rPr>
        <w:tab/>
        <w:t>Szakállas Zsolt</w:t>
      </w:r>
      <w:r w:rsidR="002F31F9">
        <w:rPr>
          <w:rFonts w:ascii="Calibri" w:hAnsi="Calibri"/>
          <w:sz w:val="22"/>
          <w:szCs w:val="20"/>
        </w:rPr>
        <w:tab/>
      </w:r>
    </w:p>
    <w:sectPr w:rsidR="00F870FF" w:rsidRPr="00D0326D" w:rsidSect="009E3004">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7"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2"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3"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5"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6"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1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num>
  <w:num w:numId="14">
    <w:abstractNumId w:val="4"/>
  </w:num>
  <w:num w:numId="15">
    <w:abstractNumId w:val="6"/>
  </w:num>
  <w:num w:numId="16">
    <w:abstractNumId w:val="2"/>
  </w:num>
  <w:num w:numId="17">
    <w:abstractNumId w:val="10"/>
  </w:num>
  <w:num w:numId="18">
    <w:abstractNumId w:val="1"/>
  </w:num>
  <w:num w:numId="19">
    <w:abstractNumId w:val="13"/>
  </w:num>
  <w:num w:numId="20">
    <w:abstractNumId w:val="26"/>
  </w:num>
  <w:num w:numId="21">
    <w:abstractNumId w:val="8"/>
  </w:num>
  <w:num w:numId="22">
    <w:abstractNumId w:val="12"/>
  </w:num>
  <w:num w:numId="23">
    <w:abstractNumId w:val="22"/>
  </w:num>
  <w:num w:numId="24">
    <w:abstractNumId w:val="25"/>
  </w:num>
  <w:num w:numId="25">
    <w:abstractNumId w:val="16"/>
  </w:num>
  <w:num w:numId="26">
    <w:abstractNumId w:val="18"/>
  </w:num>
  <w:num w:numId="27">
    <w:abstractNumId w:val="19"/>
  </w:num>
  <w:num w:numId="28">
    <w:abstractNumId w:val="1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034A7"/>
    <w:rsid w:val="00031B7A"/>
    <w:rsid w:val="00033AB4"/>
    <w:rsid w:val="00035B3E"/>
    <w:rsid w:val="00040398"/>
    <w:rsid w:val="00061363"/>
    <w:rsid w:val="000B43F0"/>
    <w:rsid w:val="000B7853"/>
    <w:rsid w:val="000C31BF"/>
    <w:rsid w:val="000D1A62"/>
    <w:rsid w:val="000E08B8"/>
    <w:rsid w:val="000F0FCA"/>
    <w:rsid w:val="000F6E2B"/>
    <w:rsid w:val="00100204"/>
    <w:rsid w:val="0010789A"/>
    <w:rsid w:val="00111510"/>
    <w:rsid w:val="00170FB1"/>
    <w:rsid w:val="00171206"/>
    <w:rsid w:val="001B481F"/>
    <w:rsid w:val="001C10E4"/>
    <w:rsid w:val="001E0F0E"/>
    <w:rsid w:val="001E2518"/>
    <w:rsid w:val="001F3988"/>
    <w:rsid w:val="002036F0"/>
    <w:rsid w:val="002272CD"/>
    <w:rsid w:val="00235B52"/>
    <w:rsid w:val="00236E33"/>
    <w:rsid w:val="00260E28"/>
    <w:rsid w:val="002621B8"/>
    <w:rsid w:val="002B380B"/>
    <w:rsid w:val="002B5C59"/>
    <w:rsid w:val="002E7BD9"/>
    <w:rsid w:val="002F31F9"/>
    <w:rsid w:val="002F4C3C"/>
    <w:rsid w:val="00303DDC"/>
    <w:rsid w:val="0031070D"/>
    <w:rsid w:val="00310FEE"/>
    <w:rsid w:val="00340AAA"/>
    <w:rsid w:val="00370053"/>
    <w:rsid w:val="0039448E"/>
    <w:rsid w:val="003A1A21"/>
    <w:rsid w:val="003A3641"/>
    <w:rsid w:val="003C2EFA"/>
    <w:rsid w:val="003C4061"/>
    <w:rsid w:val="003C629D"/>
    <w:rsid w:val="003F3391"/>
    <w:rsid w:val="003F6CD8"/>
    <w:rsid w:val="0041529B"/>
    <w:rsid w:val="00431E35"/>
    <w:rsid w:val="00457D9A"/>
    <w:rsid w:val="00466F11"/>
    <w:rsid w:val="00473029"/>
    <w:rsid w:val="00483268"/>
    <w:rsid w:val="004C2E93"/>
    <w:rsid w:val="004C487B"/>
    <w:rsid w:val="004F200D"/>
    <w:rsid w:val="00502103"/>
    <w:rsid w:val="00517438"/>
    <w:rsid w:val="005175D5"/>
    <w:rsid w:val="0053255A"/>
    <w:rsid w:val="0054148B"/>
    <w:rsid w:val="00543D7B"/>
    <w:rsid w:val="0055036E"/>
    <w:rsid w:val="0056396F"/>
    <w:rsid w:val="00566487"/>
    <w:rsid w:val="0057715C"/>
    <w:rsid w:val="00577AF4"/>
    <w:rsid w:val="00594C72"/>
    <w:rsid w:val="00595516"/>
    <w:rsid w:val="005B0763"/>
    <w:rsid w:val="005B20FA"/>
    <w:rsid w:val="005B6D5B"/>
    <w:rsid w:val="005E4003"/>
    <w:rsid w:val="005E6A1F"/>
    <w:rsid w:val="00600A3D"/>
    <w:rsid w:val="006050B9"/>
    <w:rsid w:val="006405F9"/>
    <w:rsid w:val="00651356"/>
    <w:rsid w:val="00696613"/>
    <w:rsid w:val="006A0F02"/>
    <w:rsid w:val="006C125E"/>
    <w:rsid w:val="006D4672"/>
    <w:rsid w:val="006F0B65"/>
    <w:rsid w:val="00701FBF"/>
    <w:rsid w:val="00791F4B"/>
    <w:rsid w:val="007C1FA2"/>
    <w:rsid w:val="007D6CF8"/>
    <w:rsid w:val="007E223F"/>
    <w:rsid w:val="00814F58"/>
    <w:rsid w:val="00853ADD"/>
    <w:rsid w:val="0085745D"/>
    <w:rsid w:val="008627DA"/>
    <w:rsid w:val="00866195"/>
    <w:rsid w:val="0088361D"/>
    <w:rsid w:val="00887DE7"/>
    <w:rsid w:val="008C424C"/>
    <w:rsid w:val="008C6BA4"/>
    <w:rsid w:val="008D1BF1"/>
    <w:rsid w:val="00925AE1"/>
    <w:rsid w:val="00947058"/>
    <w:rsid w:val="00951D19"/>
    <w:rsid w:val="00955490"/>
    <w:rsid w:val="00981301"/>
    <w:rsid w:val="0099098A"/>
    <w:rsid w:val="009B1AD2"/>
    <w:rsid w:val="009D20A0"/>
    <w:rsid w:val="009D3CB2"/>
    <w:rsid w:val="009E2697"/>
    <w:rsid w:val="009E3004"/>
    <w:rsid w:val="009E5B71"/>
    <w:rsid w:val="00A47415"/>
    <w:rsid w:val="00A90116"/>
    <w:rsid w:val="00AC6349"/>
    <w:rsid w:val="00AC76CC"/>
    <w:rsid w:val="00AD36DB"/>
    <w:rsid w:val="00B24CC2"/>
    <w:rsid w:val="00B40C38"/>
    <w:rsid w:val="00B44DC9"/>
    <w:rsid w:val="00B56150"/>
    <w:rsid w:val="00B56AE4"/>
    <w:rsid w:val="00B81707"/>
    <w:rsid w:val="00BB7FB7"/>
    <w:rsid w:val="00BC5505"/>
    <w:rsid w:val="00BE61DE"/>
    <w:rsid w:val="00BF5D56"/>
    <w:rsid w:val="00C3373F"/>
    <w:rsid w:val="00C3606B"/>
    <w:rsid w:val="00C42F6B"/>
    <w:rsid w:val="00C51D82"/>
    <w:rsid w:val="00C87B97"/>
    <w:rsid w:val="00CA37A0"/>
    <w:rsid w:val="00CC569A"/>
    <w:rsid w:val="00CF1192"/>
    <w:rsid w:val="00D0326D"/>
    <w:rsid w:val="00D118A7"/>
    <w:rsid w:val="00D23F14"/>
    <w:rsid w:val="00D37EBE"/>
    <w:rsid w:val="00D77669"/>
    <w:rsid w:val="00D87FA1"/>
    <w:rsid w:val="00D95CC8"/>
    <w:rsid w:val="00E0051A"/>
    <w:rsid w:val="00E11C89"/>
    <w:rsid w:val="00E62E02"/>
    <w:rsid w:val="00ED385D"/>
    <w:rsid w:val="00ED7D0E"/>
    <w:rsid w:val="00F062D9"/>
    <w:rsid w:val="00F23D64"/>
    <w:rsid w:val="00F36FE4"/>
    <w:rsid w:val="00F64F96"/>
    <w:rsid w:val="00F75D16"/>
    <w:rsid w:val="00F870FF"/>
    <w:rsid w:val="00FA62E5"/>
    <w:rsid w:val="00FE04F7"/>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ro-RO"/>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ro-RO"/>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ro-RO"/>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ro-RO"/>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ro-RO"/>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ro-RO"/>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nz@vojvodina.gov.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CA8B1-3FEF-48BE-9856-994E6403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Adrian Čoban</cp:lastModifiedBy>
  <cp:revision>17</cp:revision>
  <cp:lastPrinted>2022-05-26T13:23:00Z</cp:lastPrinted>
  <dcterms:created xsi:type="dcterms:W3CDTF">2022-05-16T11:25:00Z</dcterms:created>
  <dcterms:modified xsi:type="dcterms:W3CDTF">2022-05-27T09:29:00Z</dcterms:modified>
</cp:coreProperties>
</file>