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EB48B4" w:rsidRPr="00B9147D" w:rsidTr="00215072">
        <w:trPr>
          <w:trHeight w:val="1975"/>
        </w:trPr>
        <w:tc>
          <w:tcPr>
            <w:tcW w:w="2552" w:type="dxa"/>
            <w:gridSpan w:val="2"/>
          </w:tcPr>
          <w:p w:rsidR="00EB48B4" w:rsidRPr="00B9147D" w:rsidRDefault="00EB48B4" w:rsidP="00215072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B9147D">
              <w:rPr>
                <w:noProof/>
                <w:color w:val="000000"/>
                <w:lang w:val="en-US"/>
              </w:rPr>
              <w:drawing>
                <wp:inline distT="0" distB="0" distL="0" distR="0" wp14:anchorId="3ADEA26B" wp14:editId="0A09AD94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EB48B4" w:rsidRPr="00237477" w:rsidRDefault="00EB48B4" w:rsidP="0021507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237477">
              <w:rPr>
                <w:rFonts w:asciiTheme="minorHAnsi" w:hAnsiTheme="minorHAnsi"/>
                <w:lang w:val="sr-Latn-RS"/>
              </w:rPr>
              <w:t>Republica Serbia</w:t>
            </w:r>
          </w:p>
          <w:p w:rsidR="00EB48B4" w:rsidRPr="00237477" w:rsidRDefault="00EB48B4" w:rsidP="00215072">
            <w:pPr>
              <w:rPr>
                <w:rFonts w:asciiTheme="minorHAnsi" w:hAnsiTheme="minorHAnsi"/>
              </w:rPr>
            </w:pPr>
            <w:r w:rsidRPr="00237477">
              <w:rPr>
                <w:rFonts w:asciiTheme="minorHAnsi" w:hAnsiTheme="minorHAnsi"/>
                <w:lang w:val="sr-Latn-RS"/>
              </w:rPr>
              <w:t>Provincia Autonomă Voivodina</w:t>
            </w:r>
          </w:p>
          <w:p w:rsidR="00EB48B4" w:rsidRPr="00237477" w:rsidRDefault="00EB48B4" w:rsidP="00215072">
            <w:pPr>
              <w:rPr>
                <w:rFonts w:asciiTheme="minorHAnsi" w:hAnsiTheme="minorHAnsi"/>
                <w:b/>
              </w:rPr>
            </w:pPr>
            <w:r w:rsidRPr="00237477">
              <w:rPr>
                <w:rFonts w:asciiTheme="minorHAnsi" w:hAnsiTheme="minorHAnsi"/>
                <w:b/>
                <w:lang w:val="sr-Latn-RS"/>
              </w:rPr>
              <w:t>Secretariatul Provincial pentru Educaţie, Reglementări,</w:t>
            </w:r>
          </w:p>
          <w:p w:rsidR="00EB48B4" w:rsidRPr="00237477" w:rsidRDefault="00EB48B4" w:rsidP="00215072">
            <w:pPr>
              <w:rPr>
                <w:rFonts w:asciiTheme="minorHAnsi" w:hAnsiTheme="minorHAnsi"/>
                <w:b/>
              </w:rPr>
            </w:pPr>
            <w:r w:rsidRPr="00237477">
              <w:rPr>
                <w:rFonts w:asciiTheme="minorHAnsi" w:hAnsiTheme="minorHAnsi"/>
                <w:b/>
                <w:lang w:val="sr-Latn-RS"/>
              </w:rPr>
              <w:t>Administraţie şi Minorităţile Naţionale – Comunităţile Naţionale</w:t>
            </w:r>
          </w:p>
          <w:p w:rsidR="00EB48B4" w:rsidRPr="00237477" w:rsidRDefault="00EB48B4" w:rsidP="0021507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 w:rsidRPr="00237477">
              <w:rPr>
                <w:rFonts w:asciiTheme="minorHAnsi" w:hAnsiTheme="minorHAnsi"/>
                <w:lang w:val="sr-Latn-RS"/>
              </w:rPr>
              <w:t>Bulevar Mihajla Pupina 16, 21000 Novi Sad</w:t>
            </w:r>
          </w:p>
          <w:p w:rsidR="00EB48B4" w:rsidRPr="00237477" w:rsidRDefault="00EB48B4" w:rsidP="0021507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Latn-RS"/>
              </w:rPr>
              <w:t xml:space="preserve">T: +381 21  487  48 67; 487 </w:t>
            </w:r>
            <w:r w:rsidR="002F270C">
              <w:rPr>
                <w:rFonts w:asciiTheme="minorHAnsi" w:hAnsiTheme="minorHAnsi"/>
                <w:lang w:val="sr-Latn-RS"/>
              </w:rPr>
              <w:t>42-41</w:t>
            </w:r>
          </w:p>
          <w:p w:rsidR="00EB48B4" w:rsidRPr="00237477" w:rsidRDefault="00316E01" w:rsidP="0021507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</w:rPr>
            </w:pPr>
            <w:hyperlink r:id="rId7" w:history="1">
              <w:r w:rsidR="00EB48B4" w:rsidRPr="00237477">
                <w:rPr>
                  <w:rStyle w:val="Hyperlink"/>
                  <w:rFonts w:asciiTheme="minorHAnsi" w:hAnsiTheme="minorHAnsi"/>
                  <w:lang w:val="sr-Latn-RS"/>
                </w:rPr>
                <w:t>ounz@vojvodina.gov.rs</w:t>
              </w:r>
            </w:hyperlink>
          </w:p>
          <w:p w:rsidR="00EB48B4" w:rsidRPr="00237477" w:rsidRDefault="00EB48B4" w:rsidP="0021507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</w:rPr>
            </w:pPr>
          </w:p>
        </w:tc>
      </w:tr>
      <w:tr w:rsidR="00EB48B4" w:rsidRPr="00B9147D" w:rsidTr="00215072">
        <w:trPr>
          <w:trHeight w:val="305"/>
        </w:trPr>
        <w:tc>
          <w:tcPr>
            <w:tcW w:w="1458" w:type="dxa"/>
          </w:tcPr>
          <w:p w:rsidR="00EB48B4" w:rsidRPr="00B9147D" w:rsidRDefault="00EB48B4" w:rsidP="0021507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EB48B4" w:rsidRPr="00237477" w:rsidRDefault="00EB48B4" w:rsidP="0021507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237477"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  <w:t>NUMĂRUL: 128-451-</w:t>
            </w:r>
            <w:r w:rsidR="002F270C"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  <w:t>313</w:t>
            </w:r>
            <w:r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  <w:t>/202</w:t>
            </w:r>
            <w:r w:rsidR="002F270C"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  <w:t>1-01</w:t>
            </w:r>
          </w:p>
          <w:p w:rsidR="00EB48B4" w:rsidRPr="00237477" w:rsidRDefault="00EB48B4" w:rsidP="0021507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:rsidR="00EB48B4" w:rsidRPr="00237477" w:rsidRDefault="00EB48B4" w:rsidP="00316E0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237477"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  <w:t xml:space="preserve">DATA: </w:t>
            </w:r>
            <w:r w:rsidR="002F270C"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  <w:t>24</w:t>
            </w:r>
            <w:r w:rsidR="00D35BD9"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  <w:t>.02.202</w:t>
            </w:r>
            <w:r w:rsidR="00316E01">
              <w:rPr>
                <w:rFonts w:asciiTheme="minorHAnsi" w:eastAsia="Calibri" w:hAnsiTheme="minorHAnsi"/>
                <w:color w:val="000000"/>
                <w:sz w:val="22"/>
                <w:szCs w:val="22"/>
                <w:lang w:val="sr-Latn-RS"/>
              </w:rPr>
              <w:t>1</w:t>
            </w:r>
            <w:bookmarkStart w:id="0" w:name="_GoBack"/>
            <w:bookmarkEnd w:id="0"/>
          </w:p>
        </w:tc>
      </w:tr>
    </w:tbl>
    <w:p w:rsidR="00EB48B4" w:rsidRPr="003111F9" w:rsidRDefault="003111F9" w:rsidP="00EB48B4">
      <w:pPr>
        <w:spacing w:before="240"/>
        <w:jc w:val="both"/>
        <w:rPr>
          <w:rFonts w:ascii="Calibri" w:hAnsi="Calibri" w:cs="Arial"/>
          <w:sz w:val="22"/>
          <w:szCs w:val="22"/>
          <w:lang w:val="sr-Latn-RS"/>
        </w:rPr>
      </w:pPr>
      <w:r>
        <w:rPr>
          <w:rFonts w:ascii="Calibri" w:hAnsi="Calibri" w:cs="Arial"/>
          <w:sz w:val="22"/>
          <w:szCs w:val="22"/>
          <w:lang w:val="sr-Latn-RS"/>
        </w:rPr>
        <w:t>În baza articolului 5 din Hotărârea Adunării Provinciei privind repartizarea mijloacelor bugetare</w:t>
      </w:r>
      <w:r w:rsidR="00967347">
        <w:rPr>
          <w:rFonts w:ascii="Calibri" w:hAnsi="Calibri" w:cs="Arial"/>
          <w:sz w:val="22"/>
          <w:szCs w:val="22"/>
          <w:lang w:val="sr-Latn-RS"/>
        </w:rPr>
        <w:t xml:space="preserve"> </w:t>
      </w:r>
      <w:r>
        <w:rPr>
          <w:rFonts w:ascii="Calibri" w:hAnsi="Calibri" w:cs="Arial"/>
          <w:sz w:val="22"/>
          <w:szCs w:val="22"/>
          <w:lang w:val="sr-Latn-RS"/>
        </w:rPr>
        <w:t xml:space="preserve">pentru finanţarea şi cofinanţarea activităţilor de program şi </w:t>
      </w:r>
      <w:r w:rsidR="00967347">
        <w:rPr>
          <w:rFonts w:ascii="Calibri" w:hAnsi="Calibri" w:cs="Arial"/>
          <w:sz w:val="22"/>
          <w:szCs w:val="22"/>
          <w:lang w:val="sr-Latn-RS"/>
        </w:rPr>
        <w:t xml:space="preserve">a </w:t>
      </w:r>
      <w:r>
        <w:rPr>
          <w:rFonts w:ascii="Calibri" w:hAnsi="Calibri" w:cs="Arial"/>
          <w:sz w:val="22"/>
          <w:szCs w:val="22"/>
          <w:lang w:val="sr-Latn-RS"/>
        </w:rPr>
        <w:t>proiectelor din domeniul educaţiei şi instrucţiei elementare şi medii şi nivelului de trai  al elevilor din Provincia Autonomă Voivodina („Buletinul oficial al P.A.V.“, nr. 14/15 şi 10/17</w:t>
      </w:r>
      <w:r w:rsidRPr="00B9147D">
        <w:rPr>
          <w:rFonts w:ascii="Calibri" w:hAnsi="Calibri" w:cs="Arial"/>
          <w:sz w:val="22"/>
          <w:szCs w:val="22"/>
          <w:lang w:val="sr-Latn-RS"/>
        </w:rPr>
        <w:t>),</w:t>
      </w:r>
      <w:r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EB48B4">
        <w:rPr>
          <w:rFonts w:ascii="Calibri" w:hAnsi="Calibri" w:cs="Arial"/>
          <w:sz w:val="22"/>
          <w:szCs w:val="22"/>
          <w:lang w:val="sr-Latn-RS"/>
        </w:rPr>
        <w:t xml:space="preserve">articolului </w:t>
      </w:r>
      <w:r>
        <w:rPr>
          <w:rFonts w:ascii="Calibri" w:hAnsi="Calibri" w:cs="Arial"/>
          <w:sz w:val="22"/>
          <w:szCs w:val="22"/>
          <w:lang w:val="sr-Latn-RS"/>
        </w:rPr>
        <w:t>3</w:t>
      </w:r>
      <w:r w:rsidR="00EB48B4">
        <w:rPr>
          <w:rFonts w:ascii="Calibri" w:hAnsi="Calibri" w:cs="Arial"/>
          <w:sz w:val="22"/>
          <w:szCs w:val="22"/>
          <w:lang w:val="sr-Latn-RS"/>
        </w:rPr>
        <w:t xml:space="preserve"> din Regulamentul privind repartizarea mijloacelor bugetare ale Secretariatului Provincial pentru Educaţie, Reglementări, Administraţie şi Minorităţile Naţionale – Comunităţile Naţionale pentru finanţarea şi cofinanţarea programelor şi proiectelor din domeniul educaţiei şi instrucţiei elementare şi medii din Provincia Autonomă Voivodina („Buletinul oficial al P.A.V.“, nr. </w:t>
      </w:r>
      <w:r w:rsidR="00D44034">
        <w:rPr>
          <w:rFonts w:ascii="Calibri" w:hAnsi="Calibri" w:cs="Arial"/>
          <w:sz w:val="22"/>
          <w:szCs w:val="22"/>
          <w:lang w:val="sr-Latn-RS"/>
        </w:rPr>
        <w:t>10/20</w:t>
      </w:r>
      <w:r w:rsidR="00EB48B4" w:rsidRPr="00B9147D">
        <w:rPr>
          <w:rFonts w:ascii="Calibri" w:hAnsi="Calibri" w:cs="Arial"/>
          <w:sz w:val="22"/>
          <w:szCs w:val="22"/>
          <w:lang w:val="sr-Latn-RS"/>
        </w:rPr>
        <w:t xml:space="preserve">), </w:t>
      </w:r>
      <w:r w:rsidR="00EB48B4">
        <w:rPr>
          <w:rFonts w:ascii="Calibri" w:hAnsi="Calibri" w:cs="Arial"/>
          <w:sz w:val="22"/>
          <w:szCs w:val="22"/>
          <w:lang w:val="sr-Latn-RS"/>
        </w:rPr>
        <w:t>raportat la Hotărârea Adunării Provinciei privind bugetul Provinciei Autonome Voivodina pentru anul 202</w:t>
      </w:r>
      <w:r w:rsidR="00D44034">
        <w:rPr>
          <w:rFonts w:ascii="Calibri" w:hAnsi="Calibri" w:cs="Arial"/>
          <w:sz w:val="22"/>
          <w:szCs w:val="22"/>
          <w:lang w:val="sr-Latn-RS"/>
        </w:rPr>
        <w:t>1</w:t>
      </w:r>
      <w:r w:rsidR="00EB48B4">
        <w:rPr>
          <w:rFonts w:ascii="Calibri" w:hAnsi="Calibri" w:cs="Arial"/>
          <w:sz w:val="22"/>
          <w:szCs w:val="22"/>
          <w:lang w:val="sr-Latn-RS"/>
        </w:rPr>
        <w:t xml:space="preserve"> („Buletinul oficial al P.A.V.“, n</w:t>
      </w:r>
      <w:r w:rsidR="00EB48B4" w:rsidRPr="00B9147D">
        <w:rPr>
          <w:rFonts w:ascii="Calibri" w:hAnsi="Calibri" w:cs="Arial"/>
          <w:sz w:val="22"/>
          <w:szCs w:val="22"/>
          <w:lang w:val="sr-Latn-RS"/>
        </w:rPr>
        <w:t xml:space="preserve">r. </w:t>
      </w:r>
      <w:r w:rsidR="00D44034">
        <w:rPr>
          <w:rFonts w:ascii="Calibri" w:hAnsi="Calibri" w:cs="Arial"/>
          <w:sz w:val="22"/>
          <w:szCs w:val="22"/>
          <w:lang w:val="sr-Latn-RS"/>
        </w:rPr>
        <w:t>66/20</w:t>
      </w:r>
      <w:r w:rsidR="00EB48B4" w:rsidRPr="00B9147D">
        <w:rPr>
          <w:rFonts w:ascii="Calibri" w:hAnsi="Calibri" w:cs="Arial"/>
          <w:sz w:val="22"/>
          <w:szCs w:val="22"/>
          <w:lang w:val="sr-Latn-RS"/>
        </w:rPr>
        <w:t>),</w:t>
      </w:r>
      <w:r w:rsidR="00EB48B4" w:rsidRPr="00B9147D">
        <w:rPr>
          <w:rFonts w:ascii="Calibri" w:hAnsi="Calibri" w:cs="Arial"/>
          <w:color w:val="E36C0A"/>
          <w:sz w:val="22"/>
          <w:szCs w:val="22"/>
          <w:lang w:val="sr-Latn-RS"/>
        </w:rPr>
        <w:t xml:space="preserve"> </w:t>
      </w:r>
      <w:r w:rsidR="00EB48B4">
        <w:rPr>
          <w:rFonts w:ascii="Calibri" w:hAnsi="Calibri" w:cs="Arial"/>
          <w:sz w:val="22"/>
          <w:szCs w:val="22"/>
          <w:lang w:val="sr-Latn-RS"/>
        </w:rPr>
        <w:t>Secretariatul Provincial pentru Educaţie, Reglementări, Administraţie şi Minorităţile Naţionale – Comunităţile Naţionale publică</w:t>
      </w:r>
    </w:p>
    <w:p w:rsidR="00EB48B4" w:rsidRPr="00B9147D" w:rsidRDefault="00EB48B4" w:rsidP="00EB48B4">
      <w:pPr>
        <w:ind w:right="180"/>
        <w:jc w:val="center"/>
        <w:rPr>
          <w:rFonts w:ascii="Calibri" w:hAnsi="Calibri"/>
          <w:sz w:val="22"/>
          <w:szCs w:val="22"/>
        </w:rPr>
      </w:pPr>
    </w:p>
    <w:p w:rsidR="00EB48B4" w:rsidRPr="00B9147D" w:rsidRDefault="00EB48B4" w:rsidP="00EB48B4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lang w:val="sr-Latn-RS"/>
        </w:rPr>
        <w:t>CONCURS</w:t>
      </w:r>
    </w:p>
    <w:p w:rsidR="00EB48B4" w:rsidRDefault="00EB48B4" w:rsidP="00EB48B4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Latn-RS"/>
        </w:rPr>
      </w:pPr>
      <w:r w:rsidRPr="00B9147D">
        <w:rPr>
          <w:rFonts w:ascii="Calibri" w:hAnsi="Calibri"/>
          <w:b/>
          <w:color w:val="000000"/>
          <w:sz w:val="22"/>
          <w:szCs w:val="22"/>
          <w:lang w:val="sr-Latn-RS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  <w:lang w:val="sr-Latn-RS"/>
        </w:rPr>
        <w:t>PENTRU FINANŢAREA ŞI COFINANŢAREA PROIECTELOR DIN DOMENIUL RIDICĂRII CALITĂŢII PROCESULUI EDUCATIV – INSTRUCTIV AL ÎNVĂŢĂMÂNTULUI MEDIU – CHELTUIELILE DE</w:t>
      </w:r>
      <w:r w:rsidR="00260E5A">
        <w:rPr>
          <w:rFonts w:ascii="Calibri" w:hAnsi="Calibri"/>
          <w:b/>
          <w:color w:val="000000"/>
          <w:sz w:val="22"/>
          <w:szCs w:val="22"/>
          <w:lang w:val="sr-Latn-RS"/>
        </w:rPr>
        <w:t xml:space="preserve"> PARTICIPARE A ŞCOLILOR MEDII CU SEDIUL ÎN P.A. VOIVODINA LA TÂRGUL EDUCAŢIEI EXPOONLINE „INDICATOARE“ </w:t>
      </w:r>
      <w:r>
        <w:rPr>
          <w:rFonts w:ascii="Calibri" w:hAnsi="Calibri"/>
          <w:b/>
          <w:color w:val="000000"/>
          <w:sz w:val="22"/>
          <w:szCs w:val="22"/>
          <w:lang w:val="sr-Latn-RS"/>
        </w:rPr>
        <w:t xml:space="preserve"> </w:t>
      </w:r>
      <w:r w:rsidR="00260E5A">
        <w:rPr>
          <w:rFonts w:ascii="Calibri" w:hAnsi="Calibri"/>
          <w:b/>
          <w:color w:val="000000"/>
          <w:sz w:val="22"/>
          <w:szCs w:val="22"/>
          <w:lang w:val="sr-Latn-RS"/>
        </w:rPr>
        <w:t>DIN NOVI SAD, PENTRU ANUL 2021</w:t>
      </w:r>
    </w:p>
    <w:p w:rsidR="00EB48B4" w:rsidRPr="00B9147D" w:rsidRDefault="00EB48B4" w:rsidP="00EB48B4">
      <w:pPr>
        <w:ind w:right="-36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EB48B4" w:rsidRPr="00B9147D" w:rsidRDefault="00EB48B4" w:rsidP="00EB48B4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sr-Latn-RS"/>
        </w:rPr>
        <w:t>Secretariatul Provincial pentru Educaţie, Reglementări, Administraţie şi Minorităţile Naţionale – Comunităţile Naţionale</w:t>
      </w:r>
      <w:r w:rsidRPr="00B9147D">
        <w:rPr>
          <w:rFonts w:ascii="Calibri" w:hAnsi="Calibri"/>
          <w:sz w:val="22"/>
          <w:szCs w:val="22"/>
          <w:lang w:val="sr-Latn-RS"/>
        </w:rPr>
        <w:t xml:space="preserve">, </w:t>
      </w:r>
      <w:r>
        <w:rPr>
          <w:rFonts w:ascii="Calibri" w:hAnsi="Calibri"/>
          <w:sz w:val="22"/>
          <w:szCs w:val="22"/>
          <w:lang w:val="sr-Latn-RS"/>
        </w:rPr>
        <w:t>în conformitate cu Planul financiar şi posibilităţil</w:t>
      </w:r>
      <w:r w:rsidR="000A27F8">
        <w:rPr>
          <w:rFonts w:ascii="Calibri" w:hAnsi="Calibri"/>
          <w:sz w:val="22"/>
          <w:szCs w:val="22"/>
          <w:lang w:val="sr-Latn-RS"/>
        </w:rPr>
        <w:t>e financiare în anul bugetar 202</w:t>
      </w:r>
      <w:r w:rsidR="00785E86">
        <w:rPr>
          <w:rFonts w:ascii="Calibri" w:hAnsi="Calibri"/>
          <w:sz w:val="22"/>
          <w:szCs w:val="22"/>
          <w:lang w:val="sr-Latn-RS"/>
        </w:rPr>
        <w:t>1</w:t>
      </w:r>
      <w:r>
        <w:rPr>
          <w:rFonts w:ascii="Calibri" w:hAnsi="Calibri"/>
          <w:sz w:val="22"/>
          <w:szCs w:val="22"/>
          <w:lang w:val="sr-Latn-RS"/>
        </w:rPr>
        <w:t xml:space="preserve">, va finanţa şi cofinanţa proiectele din domeniul ridicării calităţii procesului educativ-instructiv al învăţământului mediu – cheltuielile de </w:t>
      </w:r>
      <w:r w:rsidR="00785E86">
        <w:rPr>
          <w:rFonts w:ascii="Calibri" w:hAnsi="Calibri"/>
          <w:sz w:val="22"/>
          <w:szCs w:val="22"/>
          <w:lang w:val="sr-Latn-RS"/>
        </w:rPr>
        <w:t xml:space="preserve">participare a şcolilor medii cu sediul în </w:t>
      </w:r>
      <w:r>
        <w:rPr>
          <w:rFonts w:ascii="Calibri" w:hAnsi="Calibri"/>
          <w:sz w:val="22"/>
          <w:szCs w:val="22"/>
          <w:lang w:val="sr-Latn-RS"/>
        </w:rPr>
        <w:t xml:space="preserve"> P.A</w:t>
      </w:r>
      <w:r w:rsidR="00785E86">
        <w:rPr>
          <w:rFonts w:ascii="Calibri" w:hAnsi="Calibri"/>
          <w:sz w:val="22"/>
          <w:szCs w:val="22"/>
          <w:lang w:val="sr-Latn-RS"/>
        </w:rPr>
        <w:t>. Voivodina</w:t>
      </w:r>
      <w:r>
        <w:rPr>
          <w:rFonts w:ascii="Calibri" w:hAnsi="Calibri"/>
          <w:sz w:val="22"/>
          <w:szCs w:val="22"/>
          <w:lang w:val="sr-Latn-RS"/>
        </w:rPr>
        <w:t xml:space="preserve"> la Târgul Educaţi</w:t>
      </w:r>
      <w:r w:rsidR="000A27F8">
        <w:rPr>
          <w:rFonts w:ascii="Calibri" w:hAnsi="Calibri"/>
          <w:sz w:val="22"/>
          <w:szCs w:val="22"/>
          <w:lang w:val="sr-Latn-RS"/>
        </w:rPr>
        <w:t>ei</w:t>
      </w:r>
      <w:r w:rsidR="00785E86">
        <w:rPr>
          <w:rFonts w:ascii="Calibri" w:hAnsi="Calibri"/>
          <w:sz w:val="22"/>
          <w:szCs w:val="22"/>
          <w:lang w:val="sr-Latn-RS"/>
        </w:rPr>
        <w:t xml:space="preserve"> EXPOONLINE „Indicatoare“</w:t>
      </w:r>
      <w:r w:rsidR="000A27F8">
        <w:rPr>
          <w:rFonts w:ascii="Calibri" w:hAnsi="Calibri"/>
          <w:sz w:val="22"/>
          <w:szCs w:val="22"/>
          <w:lang w:val="sr-Latn-RS"/>
        </w:rPr>
        <w:t xml:space="preserve"> din Novi Sad, pentru anul 202</w:t>
      </w:r>
      <w:r w:rsidR="00785E86">
        <w:rPr>
          <w:rFonts w:ascii="Calibri" w:hAnsi="Calibri"/>
          <w:sz w:val="22"/>
          <w:szCs w:val="22"/>
          <w:lang w:val="sr-Latn-RS"/>
        </w:rPr>
        <w:t>1</w:t>
      </w:r>
      <w:r>
        <w:rPr>
          <w:rFonts w:ascii="Calibri" w:hAnsi="Calibri"/>
          <w:sz w:val="22"/>
          <w:szCs w:val="22"/>
          <w:lang w:val="sr-Latn-RS"/>
        </w:rPr>
        <w:t>, în cuantum de</w:t>
      </w:r>
      <w:r w:rsidRPr="00B9147D">
        <w:rPr>
          <w:rFonts w:ascii="Calibri" w:hAnsi="Calibri"/>
          <w:sz w:val="22"/>
          <w:szCs w:val="22"/>
          <w:lang w:val="sr-Latn-RS"/>
        </w:rPr>
        <w:t xml:space="preserve"> </w:t>
      </w:r>
      <w:r w:rsidR="00785E86">
        <w:rPr>
          <w:rFonts w:ascii="Calibri" w:hAnsi="Calibri"/>
          <w:b/>
          <w:sz w:val="22"/>
          <w:szCs w:val="22"/>
          <w:lang w:val="sr-Latn-RS"/>
        </w:rPr>
        <w:t>1</w:t>
      </w:r>
      <w:r>
        <w:rPr>
          <w:rFonts w:ascii="Calibri" w:hAnsi="Calibri"/>
          <w:b/>
          <w:sz w:val="22"/>
          <w:szCs w:val="22"/>
          <w:lang w:val="sr-Latn-RS"/>
        </w:rPr>
        <w:t>.000.000,00 dinari</w:t>
      </w:r>
      <w:r w:rsidRPr="00B9147D">
        <w:rPr>
          <w:rFonts w:ascii="Calibri" w:hAnsi="Calibri"/>
          <w:b/>
          <w:sz w:val="22"/>
          <w:szCs w:val="22"/>
          <w:lang w:val="sr-Latn-RS"/>
        </w:rPr>
        <w:t>.</w:t>
      </w:r>
    </w:p>
    <w:p w:rsidR="00EB48B4" w:rsidRPr="00B9147D" w:rsidRDefault="00EB48B4" w:rsidP="00EB48B4">
      <w:pPr>
        <w:ind w:right="180"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 xml:space="preserve">Drept de participare la Concurs au instituţiile de învăţământ mediu din teritoriul P.A. Voivodina, al căror fondator este Republica Serbia, </w:t>
      </w:r>
      <w:r w:rsidR="002119B4">
        <w:rPr>
          <w:rFonts w:ascii="Calibri" w:hAnsi="Calibri"/>
          <w:sz w:val="22"/>
          <w:szCs w:val="22"/>
          <w:lang w:val="sr-Latn-RS"/>
        </w:rPr>
        <w:t>Provincia Autonomă sau unitatea</w:t>
      </w:r>
      <w:r>
        <w:rPr>
          <w:rFonts w:ascii="Calibri" w:hAnsi="Calibri"/>
          <w:sz w:val="22"/>
          <w:szCs w:val="22"/>
          <w:lang w:val="sr-Latn-RS"/>
        </w:rPr>
        <w:t xml:space="preserve"> autoguvernării locale. Mijloacele invocate sunt destinate pentru ridicarea calităţii procesului educativ-instructiv al învăţământului mediu – pentru cheltuielile </w:t>
      </w:r>
      <w:r w:rsidR="002119B4">
        <w:rPr>
          <w:rFonts w:ascii="Calibri" w:hAnsi="Calibri"/>
          <w:sz w:val="22"/>
          <w:szCs w:val="22"/>
          <w:lang w:val="sr-Latn-RS"/>
        </w:rPr>
        <w:t xml:space="preserve">de participare a şcolilor medii cu sediul în  P.A. Voivodina la Târgul Educaţiei EXPOONLINE „Indicatoare“ din Novi Sad, pentru anul 2021, </w:t>
      </w:r>
      <w:r>
        <w:rPr>
          <w:rFonts w:ascii="Calibri" w:hAnsi="Calibri"/>
          <w:sz w:val="22"/>
          <w:szCs w:val="22"/>
          <w:lang w:val="sr-Latn-RS"/>
        </w:rPr>
        <w:t xml:space="preserve">care va avea loc în perioada </w:t>
      </w:r>
      <w:r w:rsidR="002119B4">
        <w:rPr>
          <w:rFonts w:ascii="Calibri" w:hAnsi="Calibri"/>
          <w:sz w:val="22"/>
          <w:szCs w:val="22"/>
          <w:lang w:val="sr-Latn-RS"/>
        </w:rPr>
        <w:t>24</w:t>
      </w:r>
      <w:r w:rsidR="00487499">
        <w:rPr>
          <w:rFonts w:ascii="Calibri" w:hAnsi="Calibri"/>
          <w:sz w:val="22"/>
          <w:szCs w:val="22"/>
          <w:lang w:val="sr-Latn-RS"/>
        </w:rPr>
        <w:t>-</w:t>
      </w:r>
      <w:r w:rsidR="002119B4">
        <w:rPr>
          <w:rFonts w:ascii="Calibri" w:hAnsi="Calibri"/>
          <w:sz w:val="22"/>
          <w:szCs w:val="22"/>
          <w:lang w:val="sr-Latn-RS"/>
        </w:rPr>
        <w:t>26</w:t>
      </w:r>
      <w:r w:rsidR="00487499">
        <w:rPr>
          <w:rFonts w:ascii="Calibri" w:hAnsi="Calibri"/>
          <w:sz w:val="22"/>
          <w:szCs w:val="22"/>
          <w:lang w:val="sr-Latn-RS"/>
        </w:rPr>
        <w:t xml:space="preserve"> martie 202</w:t>
      </w:r>
      <w:r w:rsidR="002119B4">
        <w:rPr>
          <w:rFonts w:ascii="Calibri" w:hAnsi="Calibri"/>
          <w:sz w:val="22"/>
          <w:szCs w:val="22"/>
          <w:lang w:val="sr-Latn-RS"/>
        </w:rPr>
        <w:t>1</w:t>
      </w:r>
      <w:r w:rsidR="00A15577">
        <w:rPr>
          <w:rFonts w:ascii="Calibri" w:hAnsi="Calibri"/>
          <w:sz w:val="22"/>
          <w:szCs w:val="22"/>
          <w:lang w:val="sr-Latn-RS"/>
        </w:rPr>
        <w:t>.</w:t>
      </w:r>
    </w:p>
    <w:p w:rsidR="00EB48B4" w:rsidRPr="00B9147D" w:rsidRDefault="00EB48B4" w:rsidP="00EB48B4">
      <w:pPr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 xml:space="preserve">                Semnatarul cererii, trebuie să anexeze cererii</w:t>
      </w:r>
      <w:r w:rsidR="00A15577">
        <w:rPr>
          <w:rFonts w:ascii="Calibri" w:hAnsi="Calibri"/>
          <w:sz w:val="22"/>
          <w:szCs w:val="22"/>
          <w:lang w:val="sr-Latn-RS"/>
        </w:rPr>
        <w:t xml:space="preserve"> la concurs</w:t>
      </w:r>
      <w:r w:rsidRPr="00B9147D">
        <w:rPr>
          <w:rFonts w:ascii="Calibri" w:hAnsi="Calibri"/>
          <w:i/>
          <w:color w:val="000000"/>
          <w:sz w:val="22"/>
          <w:szCs w:val="22"/>
          <w:lang w:val="sr-Latn-RS"/>
        </w:rPr>
        <w:t>:</w:t>
      </w:r>
    </w:p>
    <w:p w:rsidR="00EB48B4" w:rsidRPr="00B9147D" w:rsidRDefault="00EB48B4" w:rsidP="00EB48B4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>fotocopia adeverinţei privind codul de identificare fiscală</w:t>
      </w:r>
      <w:r w:rsidRPr="00B9147D">
        <w:rPr>
          <w:rFonts w:ascii="Calibri" w:hAnsi="Calibri"/>
          <w:sz w:val="22"/>
          <w:szCs w:val="22"/>
          <w:lang w:val="sr-Latn-RS"/>
        </w:rPr>
        <w:t xml:space="preserve">, </w:t>
      </w:r>
    </w:p>
    <w:p w:rsidR="00EB48B4" w:rsidRPr="00B9147D" w:rsidRDefault="005B3BCD" w:rsidP="00EB48B4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>oferta</w:t>
      </w:r>
      <w:r w:rsidR="00195FBA">
        <w:rPr>
          <w:rFonts w:ascii="Calibri" w:hAnsi="Calibri"/>
          <w:sz w:val="22"/>
          <w:szCs w:val="22"/>
          <w:lang w:val="sr-Latn-RS"/>
        </w:rPr>
        <w:t xml:space="preserve">/devizul ofertantului pentru cheltuielile de participare la Târgul Educaţiei EXPOONLINE „Indicatoare“ din Novi Sad, pentru anul 2021. </w:t>
      </w:r>
    </w:p>
    <w:p w:rsidR="00EB48B4" w:rsidRDefault="00EB48B4" w:rsidP="00EB48B4">
      <w:pPr>
        <w:ind w:left="465"/>
        <w:jc w:val="both"/>
        <w:rPr>
          <w:rFonts w:ascii="Calibri" w:hAnsi="Calibri"/>
          <w:i/>
          <w:color w:val="000000"/>
          <w:sz w:val="22"/>
          <w:szCs w:val="22"/>
          <w:lang w:val="sr-Latn-RS"/>
        </w:rPr>
      </w:pPr>
    </w:p>
    <w:p w:rsidR="00EB48B4" w:rsidRPr="00B9147D" w:rsidRDefault="00EB48B4" w:rsidP="00EB48B4">
      <w:pPr>
        <w:ind w:left="465"/>
        <w:jc w:val="both"/>
        <w:rPr>
          <w:rFonts w:ascii="Calibri" w:hAnsi="Calibri"/>
          <w:b/>
          <w:color w:val="000000"/>
          <w:sz w:val="22"/>
          <w:szCs w:val="22"/>
        </w:rPr>
      </w:pPr>
      <w:r w:rsidRPr="00B9147D">
        <w:rPr>
          <w:rFonts w:ascii="Calibri" w:hAnsi="Calibri"/>
          <w:i/>
          <w:color w:val="000000"/>
          <w:sz w:val="22"/>
          <w:szCs w:val="22"/>
          <w:lang w:val="sr-Latn-RS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  <w:lang w:val="sr-Latn-RS"/>
        </w:rPr>
        <w:t>DECIDEREA PRIVIND CERERILE ŞI MODUL DE APLICARE</w:t>
      </w:r>
    </w:p>
    <w:p w:rsidR="00EB48B4" w:rsidRPr="00B9147D" w:rsidRDefault="00EB48B4" w:rsidP="00EB48B4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>Cu privire la repartizarea mijloacelor beneficiarilor decide secretarul provincial competent pentru activităţi de învăţământ la propunerea Comisiei pentru desfăşurarea concursului, care examinează cererile sosite</w:t>
      </w:r>
      <w:r w:rsidRPr="00B9147D">
        <w:rPr>
          <w:rFonts w:ascii="Calibri" w:hAnsi="Calibri"/>
          <w:sz w:val="22"/>
          <w:szCs w:val="22"/>
          <w:lang w:val="sr-Latn-RS"/>
        </w:rPr>
        <w:t xml:space="preserve">. </w:t>
      </w:r>
    </w:p>
    <w:p w:rsidR="00EB48B4" w:rsidRPr="00B9147D" w:rsidRDefault="00EB48B4" w:rsidP="00EB48B4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 xml:space="preserve">Criteriile pentru repartizarea mijloacelor în conformitate cu articolul 11 punctul 2 liniuţele 1, 2 şi 5 din </w:t>
      </w:r>
      <w:r>
        <w:rPr>
          <w:rFonts w:ascii="Calibri" w:hAnsi="Calibri" w:cs="Arial"/>
          <w:sz w:val="22"/>
          <w:szCs w:val="22"/>
          <w:lang w:val="sr-Latn-RS"/>
        </w:rPr>
        <w:t xml:space="preserve">Regulamentul privind repartizarea mijloacelor bugetare ale Secretariatului Provincial pentru </w:t>
      </w:r>
      <w:r>
        <w:rPr>
          <w:rFonts w:ascii="Calibri" w:hAnsi="Calibri" w:cs="Arial"/>
          <w:sz w:val="22"/>
          <w:szCs w:val="22"/>
          <w:lang w:val="sr-Latn-RS"/>
        </w:rPr>
        <w:lastRenderedPageBreak/>
        <w:t>Educaţie, Reglementări, Administraţie şi Minorităţile Naţionale – Comunităţile Naţionale pentru finanţarea şi cofinanţarea programelor şi proiectelor din domeniul educaţiei şi instrucţiei elementare şi medii din Provincia Autonomă Voivodina, sunt</w:t>
      </w:r>
      <w:r w:rsidRPr="00B9147D">
        <w:rPr>
          <w:rFonts w:ascii="Calibri" w:hAnsi="Calibri"/>
          <w:sz w:val="22"/>
          <w:szCs w:val="22"/>
          <w:lang w:val="sr-Latn-RS"/>
        </w:rPr>
        <w:t>:</w:t>
      </w:r>
    </w:p>
    <w:p w:rsidR="00EB48B4" w:rsidRPr="00B9147D" w:rsidRDefault="00EB48B4" w:rsidP="00EB48B4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>-   mărimea grupului ţintă</w:t>
      </w:r>
      <w:r w:rsidR="00864110">
        <w:rPr>
          <w:rFonts w:ascii="Calibri" w:hAnsi="Calibri"/>
          <w:sz w:val="22"/>
          <w:szCs w:val="22"/>
          <w:lang w:val="sr-Latn-RS"/>
        </w:rPr>
        <w:t xml:space="preserve"> căruia îi este destinat prezentarea instituţiei on-line, </w:t>
      </w:r>
    </w:p>
    <w:p w:rsidR="00EB48B4" w:rsidRDefault="00864110" w:rsidP="00864110">
      <w:pPr>
        <w:ind w:left="-180" w:right="180" w:firstLine="900"/>
        <w:jc w:val="both"/>
        <w:rPr>
          <w:rFonts w:ascii="Calibri" w:hAnsi="Calibri"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sr-Latn-RS"/>
        </w:rPr>
        <w:t xml:space="preserve">-  </w:t>
      </w:r>
      <w:r w:rsidR="00EB48B4">
        <w:rPr>
          <w:rFonts w:ascii="Calibri" w:hAnsi="Calibri"/>
          <w:sz w:val="22"/>
          <w:szCs w:val="22"/>
          <w:lang w:val="sr-Latn-RS"/>
        </w:rPr>
        <w:t>gradul de includere a grupului ţintă căruia îi este destinat proiectul</w:t>
      </w:r>
      <w:r w:rsidR="00EB48B4" w:rsidRPr="00B9147D">
        <w:rPr>
          <w:rFonts w:ascii="Calibri" w:hAnsi="Calibri"/>
          <w:sz w:val="22"/>
          <w:szCs w:val="22"/>
          <w:lang w:val="sr-Latn-RS"/>
        </w:rPr>
        <w:t>,</w:t>
      </w:r>
      <w:r>
        <w:rPr>
          <w:rFonts w:ascii="Calibri" w:hAnsi="Calibri"/>
          <w:sz w:val="22"/>
          <w:szCs w:val="22"/>
          <w:lang w:val="sr-Latn-RS"/>
        </w:rPr>
        <w:t xml:space="preserve"> în prezentarea instituţiei on-line,</w:t>
      </w:r>
    </w:p>
    <w:p w:rsidR="00C2643E" w:rsidRPr="00B9147D" w:rsidRDefault="00C2643E" w:rsidP="00864110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Latn-RS"/>
        </w:rPr>
        <w:t>-   includerea instituţiilor partenere în realizarea proiectului</w:t>
      </w:r>
    </w:p>
    <w:p w:rsidR="00EB48B4" w:rsidRPr="00B9147D" w:rsidRDefault="00EB48B4" w:rsidP="00EB48B4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:rsidR="00EB48B4" w:rsidRDefault="00EB48B4" w:rsidP="00EB48B4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>Secretariatul îşi rezervă dreptul de a solicita semnatarului cererii, după necesitate, documentaţie şi informaţii suplimentare.</w:t>
      </w:r>
    </w:p>
    <w:p w:rsidR="00EB48B4" w:rsidRPr="00B6217C" w:rsidRDefault="00EB48B4" w:rsidP="00EB48B4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Dacă cererea este semnată de către persoana autorizată, este necesară prezentarea autorizaţiei adecvate pentru semnarea acesteia. </w:t>
      </w:r>
    </w:p>
    <w:p w:rsidR="00EB48B4" w:rsidRPr="00B6217C" w:rsidRDefault="00EB48B4" w:rsidP="00EB48B4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Cererea</w:t>
      </w:r>
      <w:r w:rsidRPr="00B6217C">
        <w:rPr>
          <w:rFonts w:ascii="Calibri" w:hAnsi="Calibri" w:cs="Calibri"/>
          <w:sz w:val="22"/>
          <w:szCs w:val="22"/>
        </w:rPr>
        <w:t xml:space="preserve"> la concurs se prezintă în formă scrisă, pe formularul unic care se publică pe pagina de internet a Secretariatului. </w:t>
      </w:r>
    </w:p>
    <w:p w:rsidR="00EB48B4" w:rsidRDefault="00EB48B4" w:rsidP="00EB48B4">
      <w:pPr>
        <w:ind w:firstLine="720"/>
        <w:jc w:val="both"/>
        <w:rPr>
          <w:rFonts w:ascii="Calibri" w:hAnsi="Calibri" w:cs="Calibri"/>
          <w:b/>
          <w:sz w:val="22"/>
          <w:szCs w:val="22"/>
        </w:rPr>
      </w:pPr>
    </w:p>
    <w:p w:rsidR="00EB48B4" w:rsidRPr="00B6217C" w:rsidRDefault="00EB48B4" w:rsidP="00EB48B4">
      <w:pPr>
        <w:ind w:firstLine="720"/>
        <w:jc w:val="both"/>
        <w:rPr>
          <w:rFonts w:ascii="Calibri" w:hAnsi="Calibri" w:cs="Calibri"/>
          <w:b/>
          <w:sz w:val="22"/>
          <w:szCs w:val="22"/>
        </w:rPr>
      </w:pPr>
      <w:r w:rsidRPr="00B6217C">
        <w:rPr>
          <w:rFonts w:ascii="Calibri" w:hAnsi="Calibri" w:cs="Calibri"/>
          <w:b/>
          <w:sz w:val="22"/>
          <w:szCs w:val="22"/>
        </w:rPr>
        <w:t>O persoană jur</w:t>
      </w:r>
      <w:r>
        <w:rPr>
          <w:rFonts w:ascii="Calibri" w:hAnsi="Calibri" w:cs="Calibri"/>
          <w:b/>
          <w:sz w:val="22"/>
          <w:szCs w:val="22"/>
        </w:rPr>
        <w:t>idică poate prezenta o singură cerere.</w:t>
      </w:r>
    </w:p>
    <w:p w:rsidR="007106E8" w:rsidRDefault="00EB48B4" w:rsidP="00EB48B4">
      <w:pPr>
        <w:jc w:val="both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ab/>
      </w:r>
    </w:p>
    <w:p w:rsidR="00EB48B4" w:rsidRPr="00B6217C" w:rsidRDefault="00EB48B4" w:rsidP="007106E8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>Rezultatele concursului vor fi publicate pe pagina de internet a Secretariatului.</w:t>
      </w:r>
    </w:p>
    <w:p w:rsidR="00EB48B4" w:rsidRPr="00B6217C" w:rsidRDefault="00EB48B4" w:rsidP="00EB48B4">
      <w:pPr>
        <w:rPr>
          <w:rFonts w:ascii="Calibri" w:hAnsi="Calibri" w:cs="Calibri"/>
          <w:b/>
          <w:sz w:val="22"/>
          <w:szCs w:val="22"/>
          <w:u w:val="single"/>
        </w:rPr>
      </w:pPr>
    </w:p>
    <w:p w:rsidR="00EB48B4" w:rsidRPr="00B6217C" w:rsidRDefault="00EB48B4" w:rsidP="00EB48B4">
      <w:pPr>
        <w:rPr>
          <w:rFonts w:ascii="Calibri" w:hAnsi="Calibri" w:cs="Calibri"/>
          <w:b/>
          <w:sz w:val="22"/>
          <w:szCs w:val="22"/>
          <w:u w:val="single"/>
        </w:rPr>
      </w:pPr>
      <w:r w:rsidRPr="00B6217C">
        <w:rPr>
          <w:rFonts w:ascii="Calibri" w:hAnsi="Calibri" w:cs="Calibri"/>
          <w:b/>
          <w:sz w:val="22"/>
          <w:szCs w:val="22"/>
          <w:u w:val="single"/>
        </w:rPr>
        <w:t>Termenul de prezentare a cereri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lor la concursul este </w:t>
      </w:r>
      <w:r w:rsidR="007106E8">
        <w:rPr>
          <w:rFonts w:ascii="Calibri" w:hAnsi="Calibri" w:cs="Calibri"/>
          <w:b/>
          <w:sz w:val="22"/>
          <w:szCs w:val="22"/>
          <w:u w:val="single"/>
        </w:rPr>
        <w:t>4 martie 2021</w:t>
      </w:r>
      <w:r>
        <w:rPr>
          <w:rFonts w:ascii="Calibri" w:hAnsi="Calibri" w:cs="Calibri"/>
          <w:b/>
          <w:sz w:val="22"/>
          <w:szCs w:val="22"/>
          <w:u w:val="single"/>
        </w:rPr>
        <w:t>.</w:t>
      </w:r>
    </w:p>
    <w:p w:rsidR="00EB48B4" w:rsidRDefault="00EB48B4" w:rsidP="00EB48B4">
      <w:pPr>
        <w:rPr>
          <w:rFonts w:ascii="Calibri" w:hAnsi="Calibri" w:cs="Calibri"/>
          <w:sz w:val="22"/>
          <w:szCs w:val="22"/>
        </w:rPr>
      </w:pPr>
    </w:p>
    <w:p w:rsidR="00EB48B4" w:rsidRPr="00B6217C" w:rsidRDefault="00EB48B4" w:rsidP="00EB48B4">
      <w:pPr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>Cererile cu documentaţia necesară se trimit prin poştă pe adresa:</w:t>
      </w:r>
    </w:p>
    <w:p w:rsidR="00EB48B4" w:rsidRPr="00B6217C" w:rsidRDefault="00EB48B4" w:rsidP="00EB48B4">
      <w:pPr>
        <w:jc w:val="center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 xml:space="preserve">Secretariatul Provincial pentru Educaţie, Reglementări, Administraţie </w:t>
      </w:r>
    </w:p>
    <w:p w:rsidR="00EB48B4" w:rsidRPr="00B6217C" w:rsidRDefault="00EB48B4" w:rsidP="00EB48B4">
      <w:pPr>
        <w:jc w:val="center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>şi Minoritățile Naționale - Comunităţile Naţionale</w:t>
      </w:r>
    </w:p>
    <w:p w:rsidR="00EB48B4" w:rsidRPr="00B6217C" w:rsidRDefault="00EB48B4" w:rsidP="00EB48B4">
      <w:pPr>
        <w:jc w:val="center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 xml:space="preserve">”Concurs pentru </w:t>
      </w:r>
      <w:r>
        <w:rPr>
          <w:rFonts w:ascii="Calibri" w:hAnsi="Calibri" w:cs="Calibri"/>
          <w:sz w:val="22"/>
          <w:szCs w:val="22"/>
        </w:rPr>
        <w:t>cheltuielile de</w:t>
      </w:r>
      <w:r w:rsidR="00B67C20">
        <w:rPr>
          <w:rFonts w:ascii="Calibri" w:hAnsi="Calibri" w:cs="Calibri"/>
          <w:sz w:val="22"/>
          <w:szCs w:val="22"/>
        </w:rPr>
        <w:t xml:space="preserve"> participare la </w:t>
      </w:r>
      <w:r w:rsidR="00B67C20">
        <w:rPr>
          <w:rFonts w:ascii="Calibri" w:hAnsi="Calibri"/>
          <w:sz w:val="22"/>
          <w:szCs w:val="22"/>
          <w:lang w:val="sr-Latn-RS"/>
        </w:rPr>
        <w:t xml:space="preserve">Târgul Educaţiei EXPOONLINE „Indicatoare“ din Novi Sad pentru anul 2021“ </w:t>
      </w:r>
    </w:p>
    <w:p w:rsidR="00EB48B4" w:rsidRPr="00B6217C" w:rsidRDefault="00EB48B4" w:rsidP="00EB48B4">
      <w:pPr>
        <w:jc w:val="center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>Bulevar Mihajla Pupina 16</w:t>
      </w:r>
    </w:p>
    <w:p w:rsidR="00EB48B4" w:rsidRDefault="00EB48B4" w:rsidP="00EB48B4">
      <w:pPr>
        <w:jc w:val="center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>21000 Novi Sad</w:t>
      </w:r>
    </w:p>
    <w:p w:rsidR="00B67C20" w:rsidRDefault="00B67C20" w:rsidP="00EB48B4">
      <w:pPr>
        <w:jc w:val="center"/>
        <w:rPr>
          <w:rFonts w:ascii="Calibri" w:hAnsi="Calibri" w:cs="Calibri"/>
          <w:sz w:val="22"/>
          <w:szCs w:val="22"/>
        </w:rPr>
      </w:pPr>
    </w:p>
    <w:p w:rsidR="00B67C20" w:rsidRPr="00B6217C" w:rsidRDefault="00B67C20" w:rsidP="00EB48B4">
      <w:pPr>
        <w:jc w:val="center"/>
        <w:rPr>
          <w:rFonts w:ascii="Calibri" w:hAnsi="Calibri" w:cs="Calibri"/>
          <w:sz w:val="22"/>
          <w:szCs w:val="22"/>
        </w:rPr>
      </w:pPr>
    </w:p>
    <w:p w:rsidR="00EB48B4" w:rsidRPr="00B6217C" w:rsidRDefault="00EB48B4" w:rsidP="00D97937">
      <w:pPr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</w:rPr>
        <w:t>Comisia nu va examina:</w:t>
      </w:r>
    </w:p>
    <w:p w:rsidR="00EB48B4" w:rsidRDefault="00EB48B4" w:rsidP="00EB48B4">
      <w:pPr>
        <w:numPr>
          <w:ilvl w:val="0"/>
          <w:numId w:val="18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B6217C">
        <w:rPr>
          <w:rFonts w:ascii="Calibri" w:hAnsi="Calibri" w:cs="Calibri"/>
          <w:sz w:val="22"/>
          <w:szCs w:val="22"/>
        </w:rPr>
        <w:t xml:space="preserve">ererile incomplete </w:t>
      </w:r>
    </w:p>
    <w:p w:rsidR="00EB48B4" w:rsidRPr="00B6217C" w:rsidRDefault="00EB48B4" w:rsidP="00EB48B4">
      <w:pPr>
        <w:numPr>
          <w:ilvl w:val="0"/>
          <w:numId w:val="18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  <w:lang w:val="ro-RO"/>
        </w:rPr>
        <w:t xml:space="preserve">cererile sosite după termenul prevăzut </w:t>
      </w:r>
    </w:p>
    <w:p w:rsidR="00EB48B4" w:rsidRPr="00B6217C" w:rsidRDefault="00EB48B4" w:rsidP="00EB48B4">
      <w:pPr>
        <w:numPr>
          <w:ilvl w:val="0"/>
          <w:numId w:val="18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  <w:lang w:val="ro-RO"/>
        </w:rPr>
        <w:t>cererile nepermise (cererile prezentate de persoane</w:t>
      </w:r>
      <w:r>
        <w:rPr>
          <w:rFonts w:ascii="Calibri" w:hAnsi="Calibri" w:cs="Calibri"/>
          <w:sz w:val="22"/>
          <w:szCs w:val="22"/>
          <w:lang w:val="ro-RO"/>
        </w:rPr>
        <w:t xml:space="preserve">le care nu sunt autorizate şi ale </w:t>
      </w:r>
      <w:r w:rsidRPr="00B6217C">
        <w:rPr>
          <w:rFonts w:ascii="Calibri" w:hAnsi="Calibri" w:cs="Calibri"/>
          <w:sz w:val="22"/>
          <w:szCs w:val="22"/>
          <w:lang w:val="ro-RO"/>
        </w:rPr>
        <w:t>subiecţilor care nu sunt prevăzuţi în concurs);</w:t>
      </w:r>
    </w:p>
    <w:p w:rsidR="00EB48B4" w:rsidRPr="00B6217C" w:rsidRDefault="00EB48B4" w:rsidP="00EB48B4">
      <w:pPr>
        <w:numPr>
          <w:ilvl w:val="0"/>
          <w:numId w:val="18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ro-RO"/>
        </w:rPr>
        <w:t>cererile care nu se referă la destinaţiile prevăzute în concurs</w:t>
      </w:r>
    </w:p>
    <w:p w:rsidR="00EB48B4" w:rsidRPr="00B6217C" w:rsidRDefault="00EB48B4" w:rsidP="00EB48B4">
      <w:pPr>
        <w:numPr>
          <w:ilvl w:val="0"/>
          <w:numId w:val="18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6217C">
        <w:rPr>
          <w:rFonts w:ascii="Calibri" w:hAnsi="Calibri" w:cs="Calibri"/>
          <w:sz w:val="22"/>
          <w:szCs w:val="22"/>
          <w:lang w:val="ro-RO"/>
        </w:rPr>
        <w:t>cererile beneficiarilor care în perioada precedentă n-au justificat mijloacele repartizate în baza rap</w:t>
      </w:r>
      <w:r>
        <w:rPr>
          <w:rFonts w:ascii="Calibri" w:hAnsi="Calibri" w:cs="Calibri"/>
          <w:sz w:val="22"/>
          <w:szCs w:val="22"/>
          <w:lang w:val="ro-RO"/>
        </w:rPr>
        <w:t>oartelor financiare şi narative.</w:t>
      </w:r>
    </w:p>
    <w:p w:rsidR="00EB48B4" w:rsidRDefault="00EB48B4" w:rsidP="00EB48B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B6217C">
        <w:rPr>
          <w:rFonts w:ascii="Calibri" w:hAnsi="Calibri" w:cs="Calibri"/>
          <w:sz w:val="22"/>
          <w:szCs w:val="22"/>
        </w:rPr>
        <w:t>Fo</w:t>
      </w:r>
      <w:r>
        <w:rPr>
          <w:rFonts w:ascii="Calibri" w:hAnsi="Calibri" w:cs="Calibri"/>
          <w:sz w:val="22"/>
          <w:szCs w:val="22"/>
        </w:rPr>
        <w:t>rmualrul Chestionarului</w:t>
      </w:r>
      <w:r w:rsidRPr="00B6217C">
        <w:rPr>
          <w:rFonts w:ascii="Calibri" w:hAnsi="Calibri" w:cs="Calibri"/>
          <w:sz w:val="22"/>
          <w:szCs w:val="22"/>
        </w:rPr>
        <w:t xml:space="preserve"> se poate prelua </w:t>
      </w:r>
      <w:r>
        <w:rPr>
          <w:rFonts w:ascii="Calibri" w:hAnsi="Calibri" w:cs="Calibri"/>
          <w:sz w:val="22"/>
          <w:szCs w:val="22"/>
        </w:rPr>
        <w:t xml:space="preserve">începând cu data de </w:t>
      </w:r>
      <w:r w:rsidR="00D97937">
        <w:rPr>
          <w:rFonts w:ascii="Calibri" w:hAnsi="Calibri" w:cs="Calibri"/>
          <w:b/>
          <w:sz w:val="22"/>
          <w:szCs w:val="22"/>
        </w:rPr>
        <w:t>4 martie</w:t>
      </w:r>
      <w:r w:rsidRPr="00B6217C">
        <w:rPr>
          <w:rFonts w:ascii="Calibri" w:hAnsi="Calibri" w:cs="Calibri"/>
          <w:b/>
          <w:sz w:val="22"/>
          <w:szCs w:val="22"/>
        </w:rPr>
        <w:t xml:space="preserve"> </w:t>
      </w:r>
      <w:r w:rsidR="00507216">
        <w:rPr>
          <w:rFonts w:ascii="Calibri" w:hAnsi="Calibri" w:cs="Calibri"/>
          <w:b/>
          <w:sz w:val="22"/>
          <w:szCs w:val="22"/>
        </w:rPr>
        <w:t>202</w:t>
      </w:r>
      <w:r w:rsidR="00D97937">
        <w:rPr>
          <w:rFonts w:ascii="Calibri" w:hAnsi="Calibri" w:cs="Calibri"/>
          <w:b/>
          <w:sz w:val="22"/>
          <w:szCs w:val="22"/>
        </w:rPr>
        <w:t>1</w:t>
      </w:r>
      <w:r w:rsidRPr="00B6217C">
        <w:rPr>
          <w:rFonts w:ascii="Calibri" w:hAnsi="Calibri" w:cs="Calibri"/>
          <w:sz w:val="22"/>
          <w:szCs w:val="22"/>
        </w:rPr>
        <w:t xml:space="preserve"> pe pagina Web oficială a Secretariatul Provincial pentru Educaţie, Reglementări, Administraţie şi Minoritățile Naționale - Comunităţile Naţionale </w:t>
      </w:r>
      <w:r w:rsidR="00316E01">
        <w:rPr>
          <w:rStyle w:val="Hyperlink"/>
          <w:rFonts w:ascii="Calibri" w:hAnsi="Calibri" w:cs="Calibri"/>
          <w:sz w:val="22"/>
          <w:szCs w:val="22"/>
        </w:rPr>
        <w:fldChar w:fldCharType="begin"/>
      </w:r>
      <w:r w:rsidR="00316E01">
        <w:rPr>
          <w:rStyle w:val="Hyperlink"/>
          <w:rFonts w:ascii="Calibri" w:hAnsi="Calibri" w:cs="Calibri"/>
          <w:sz w:val="22"/>
          <w:szCs w:val="22"/>
        </w:rPr>
        <w:instrText xml:space="preserve"> HYPERLINK "http://www.puma.vojvodina.gov.rs" </w:instrText>
      </w:r>
      <w:r w:rsidR="00316E01">
        <w:rPr>
          <w:rStyle w:val="Hyperlink"/>
          <w:rFonts w:ascii="Calibri" w:hAnsi="Calibri" w:cs="Calibri"/>
          <w:sz w:val="22"/>
          <w:szCs w:val="22"/>
        </w:rPr>
        <w:fldChar w:fldCharType="separate"/>
      </w:r>
      <w:r w:rsidRPr="00B6217C">
        <w:rPr>
          <w:rStyle w:val="Hyperlink"/>
          <w:rFonts w:ascii="Calibri" w:hAnsi="Calibri" w:cs="Calibri"/>
          <w:sz w:val="22"/>
          <w:szCs w:val="22"/>
        </w:rPr>
        <w:t>www.puma.vojvodina.gov.rs</w:t>
      </w:r>
      <w:r w:rsidR="00316E01">
        <w:rPr>
          <w:rStyle w:val="Hyperlink"/>
          <w:rFonts w:ascii="Calibri" w:hAnsi="Calibri" w:cs="Calibri"/>
          <w:sz w:val="22"/>
          <w:szCs w:val="22"/>
        </w:rPr>
        <w:fldChar w:fldCharType="end"/>
      </w:r>
      <w:r w:rsidRPr="00B6217C">
        <w:rPr>
          <w:rFonts w:ascii="Calibri" w:hAnsi="Calibri" w:cs="Calibri"/>
          <w:sz w:val="22"/>
          <w:szCs w:val="22"/>
        </w:rPr>
        <w:t xml:space="preserve"> .</w:t>
      </w:r>
    </w:p>
    <w:p w:rsidR="00EB48B4" w:rsidRDefault="00EB48B4" w:rsidP="00EB48B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EB48B4" w:rsidRPr="00B6217C" w:rsidRDefault="00EB48B4" w:rsidP="00EB48B4">
      <w:pPr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Informaţii referitoare la concurs puteţi obţine la telefon: </w:t>
      </w:r>
      <w:r w:rsidR="00507216">
        <w:rPr>
          <w:rFonts w:ascii="Calibri" w:hAnsi="Calibri"/>
          <w:sz w:val="22"/>
          <w:szCs w:val="22"/>
          <w:lang w:val="sr-Latn-RS"/>
        </w:rPr>
        <w:t>021/ 487 48 67</w:t>
      </w:r>
      <w:r w:rsidRPr="00B6217C">
        <w:rPr>
          <w:rFonts w:ascii="Calibri" w:hAnsi="Calibri"/>
          <w:sz w:val="22"/>
          <w:szCs w:val="22"/>
          <w:lang w:val="sr-Latn-RS"/>
        </w:rPr>
        <w:t>, 487 4</w:t>
      </w:r>
      <w:r w:rsidR="00D97937">
        <w:rPr>
          <w:rFonts w:ascii="Calibri" w:hAnsi="Calibri"/>
          <w:sz w:val="22"/>
          <w:szCs w:val="22"/>
          <w:lang w:val="sr-Latn-RS"/>
        </w:rPr>
        <w:t>2</w:t>
      </w:r>
      <w:r w:rsidRPr="00B6217C">
        <w:rPr>
          <w:rFonts w:ascii="Calibri" w:hAnsi="Calibri"/>
          <w:sz w:val="22"/>
          <w:szCs w:val="22"/>
          <w:lang w:val="sr-Latn-RS"/>
        </w:rPr>
        <w:t xml:space="preserve"> </w:t>
      </w:r>
      <w:r w:rsidR="00D97937">
        <w:rPr>
          <w:rFonts w:ascii="Calibri" w:hAnsi="Calibri"/>
          <w:sz w:val="22"/>
          <w:szCs w:val="22"/>
          <w:lang w:val="sr-Latn-RS"/>
        </w:rPr>
        <w:t>41</w:t>
      </w:r>
      <w:r w:rsidRPr="00B6217C">
        <w:rPr>
          <w:rFonts w:ascii="Calibri" w:hAnsi="Calibri"/>
          <w:sz w:val="22"/>
          <w:szCs w:val="22"/>
          <w:lang w:val="sr-Latn-RS"/>
        </w:rPr>
        <w:t>.</w:t>
      </w:r>
    </w:p>
    <w:p w:rsidR="00EB48B4" w:rsidRPr="00B6217C" w:rsidRDefault="00EB48B4" w:rsidP="00EB48B4">
      <w:pPr>
        <w:ind w:right="180"/>
        <w:jc w:val="both"/>
        <w:rPr>
          <w:rFonts w:ascii="Calibri" w:hAnsi="Calibri"/>
          <w:sz w:val="22"/>
          <w:szCs w:val="22"/>
        </w:rPr>
      </w:pPr>
    </w:p>
    <w:p w:rsidR="00EB48B4" w:rsidRPr="00B6217C" w:rsidRDefault="00EB48B4" w:rsidP="00EB48B4">
      <w:pPr>
        <w:ind w:right="180"/>
        <w:jc w:val="both"/>
        <w:rPr>
          <w:rFonts w:ascii="Calibri" w:hAnsi="Calibri"/>
          <w:color w:val="000000"/>
          <w:sz w:val="22"/>
          <w:szCs w:val="22"/>
        </w:rPr>
      </w:pPr>
    </w:p>
    <w:p w:rsidR="00EB48B4" w:rsidRPr="00B6217C" w:rsidRDefault="00EB48B4" w:rsidP="00EB48B4">
      <w:pPr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ab/>
      </w:r>
      <w:r>
        <w:rPr>
          <w:rFonts w:ascii="Calibri" w:hAnsi="Calibri" w:cs="Calibri"/>
          <w:sz w:val="22"/>
          <w:szCs w:val="22"/>
          <w:lang w:val="ro-RO"/>
        </w:rPr>
        <w:tab/>
      </w:r>
      <w:r>
        <w:rPr>
          <w:rFonts w:ascii="Calibri" w:hAnsi="Calibri" w:cs="Calibri"/>
          <w:sz w:val="22"/>
          <w:szCs w:val="22"/>
          <w:lang w:val="ro-RO"/>
        </w:rPr>
        <w:tab/>
      </w:r>
      <w:r>
        <w:rPr>
          <w:rFonts w:ascii="Calibri" w:hAnsi="Calibri" w:cs="Calibri"/>
          <w:sz w:val="22"/>
          <w:szCs w:val="22"/>
          <w:lang w:val="ro-RO"/>
        </w:rPr>
        <w:tab/>
      </w:r>
      <w:r>
        <w:rPr>
          <w:rFonts w:ascii="Calibri" w:hAnsi="Calibri" w:cs="Calibri"/>
          <w:sz w:val="22"/>
          <w:szCs w:val="22"/>
          <w:lang w:val="ro-RO"/>
        </w:rPr>
        <w:tab/>
      </w:r>
      <w:r>
        <w:rPr>
          <w:rFonts w:ascii="Calibri" w:hAnsi="Calibri" w:cs="Calibri"/>
          <w:sz w:val="22"/>
          <w:szCs w:val="22"/>
          <w:lang w:val="ro-RO"/>
        </w:rPr>
        <w:tab/>
      </w:r>
      <w:r>
        <w:rPr>
          <w:rFonts w:ascii="Calibri" w:hAnsi="Calibri" w:cs="Calibri"/>
          <w:sz w:val="22"/>
          <w:szCs w:val="22"/>
          <w:lang w:val="ro-RO"/>
        </w:rPr>
        <w:tab/>
      </w:r>
      <w:r>
        <w:rPr>
          <w:rFonts w:ascii="Calibri" w:hAnsi="Calibri" w:cs="Calibri"/>
          <w:sz w:val="22"/>
          <w:szCs w:val="22"/>
          <w:lang w:val="ro-RO"/>
        </w:rPr>
        <w:tab/>
        <w:t xml:space="preserve">            </w:t>
      </w:r>
      <w:r w:rsidRPr="00B6217C">
        <w:rPr>
          <w:rFonts w:ascii="Calibri" w:hAnsi="Calibri" w:cs="Calibri"/>
          <w:sz w:val="22"/>
          <w:szCs w:val="22"/>
          <w:lang w:val="ro-RO"/>
        </w:rPr>
        <w:t>SECRETAR PROVINCIAL</w:t>
      </w:r>
    </w:p>
    <w:p w:rsidR="00EB48B4" w:rsidRPr="00B6217C" w:rsidRDefault="00EB48B4" w:rsidP="00EB48B4">
      <w:pPr>
        <w:rPr>
          <w:rFonts w:ascii="Calibri" w:hAnsi="Calibri" w:cs="Calibri"/>
          <w:sz w:val="22"/>
          <w:szCs w:val="22"/>
          <w:lang w:val="ro-RO"/>
        </w:rPr>
      </w:pPr>
    </w:p>
    <w:p w:rsidR="00EB48B4" w:rsidRPr="00B6217C" w:rsidRDefault="00EB48B4" w:rsidP="00EB48B4">
      <w:pPr>
        <w:rPr>
          <w:rFonts w:ascii="Calibri" w:hAnsi="Calibri" w:cs="Calibri"/>
          <w:sz w:val="22"/>
          <w:szCs w:val="22"/>
          <w:lang w:val="hu-HU"/>
        </w:rPr>
      </w:pPr>
      <w:r w:rsidRPr="00B6217C">
        <w:rPr>
          <w:rFonts w:ascii="Calibri" w:hAnsi="Calibri" w:cs="Calibri"/>
          <w:sz w:val="22"/>
          <w:szCs w:val="22"/>
          <w:lang w:val="ro-RO"/>
        </w:rPr>
        <w:tab/>
      </w:r>
      <w:r w:rsidRPr="00B6217C">
        <w:rPr>
          <w:rFonts w:ascii="Calibri" w:hAnsi="Calibri" w:cs="Calibri"/>
          <w:sz w:val="22"/>
          <w:szCs w:val="22"/>
          <w:lang w:val="ro-RO"/>
        </w:rPr>
        <w:tab/>
      </w:r>
      <w:r w:rsidRPr="00B6217C">
        <w:rPr>
          <w:rFonts w:ascii="Calibri" w:hAnsi="Calibri" w:cs="Calibri"/>
          <w:sz w:val="22"/>
          <w:szCs w:val="22"/>
          <w:lang w:val="ro-RO"/>
        </w:rPr>
        <w:tab/>
      </w:r>
      <w:r w:rsidRPr="00B6217C">
        <w:rPr>
          <w:rFonts w:ascii="Calibri" w:hAnsi="Calibri" w:cs="Calibri"/>
          <w:sz w:val="22"/>
          <w:szCs w:val="22"/>
          <w:lang w:val="ro-RO"/>
        </w:rPr>
        <w:tab/>
      </w:r>
      <w:r w:rsidRPr="00B6217C">
        <w:rPr>
          <w:rFonts w:ascii="Calibri" w:hAnsi="Calibri" w:cs="Calibri"/>
          <w:sz w:val="22"/>
          <w:szCs w:val="22"/>
          <w:lang w:val="ro-RO"/>
        </w:rPr>
        <w:tab/>
      </w:r>
      <w:r w:rsidRPr="00B6217C">
        <w:rPr>
          <w:rFonts w:ascii="Calibri" w:hAnsi="Calibri" w:cs="Calibri"/>
          <w:sz w:val="22"/>
          <w:szCs w:val="22"/>
          <w:lang w:val="ro-RO"/>
        </w:rPr>
        <w:tab/>
      </w:r>
      <w:r w:rsidRPr="00B6217C">
        <w:rPr>
          <w:rFonts w:ascii="Calibri" w:hAnsi="Calibri" w:cs="Calibri"/>
          <w:sz w:val="22"/>
          <w:szCs w:val="22"/>
          <w:lang w:val="ro-RO"/>
        </w:rPr>
        <w:tab/>
      </w:r>
      <w:r w:rsidRPr="00B6217C">
        <w:rPr>
          <w:rFonts w:ascii="Calibri" w:hAnsi="Calibri" w:cs="Calibri"/>
          <w:sz w:val="22"/>
          <w:szCs w:val="22"/>
          <w:lang w:val="ro-RO"/>
        </w:rPr>
        <w:tab/>
      </w:r>
      <w:r w:rsidRPr="00B6217C">
        <w:rPr>
          <w:rFonts w:ascii="Calibri" w:hAnsi="Calibri" w:cs="Calibri"/>
          <w:sz w:val="22"/>
          <w:szCs w:val="22"/>
          <w:lang w:val="ro-RO"/>
        </w:rPr>
        <w:tab/>
        <w:t xml:space="preserve">    </w:t>
      </w:r>
      <w:r w:rsidR="00D97937">
        <w:rPr>
          <w:rFonts w:ascii="Calibri" w:hAnsi="Calibri" w:cs="Calibri"/>
          <w:sz w:val="22"/>
          <w:szCs w:val="22"/>
          <w:lang w:val="ro-RO"/>
        </w:rPr>
        <w:t xml:space="preserve">  </w:t>
      </w:r>
      <w:proofErr w:type="spellStart"/>
      <w:r w:rsidR="00D97937" w:rsidRPr="00B24733">
        <w:rPr>
          <w:rFonts w:ascii="Calibri" w:hAnsi="Calibri"/>
          <w:sz w:val="22"/>
          <w:szCs w:val="22"/>
          <w:lang w:val="en-US"/>
        </w:rPr>
        <w:t>Szakállas</w:t>
      </w:r>
      <w:proofErr w:type="spellEnd"/>
      <w:r w:rsidR="00D97937" w:rsidRPr="00B24733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="00D97937" w:rsidRPr="00B24733">
        <w:rPr>
          <w:rFonts w:ascii="Calibri" w:hAnsi="Calibri"/>
          <w:sz w:val="22"/>
          <w:szCs w:val="22"/>
          <w:lang w:val="en-US"/>
        </w:rPr>
        <w:t>Zsolt</w:t>
      </w:r>
      <w:proofErr w:type="spellEnd"/>
    </w:p>
    <w:p w:rsidR="00EB48B4" w:rsidRPr="00B6217C" w:rsidRDefault="00EB48B4" w:rsidP="00EB48B4">
      <w:pPr>
        <w:ind w:right="180"/>
        <w:jc w:val="both"/>
        <w:rPr>
          <w:rFonts w:ascii="Calibri" w:hAnsi="Calibri"/>
          <w:color w:val="000000"/>
          <w:sz w:val="22"/>
          <w:szCs w:val="22"/>
        </w:rPr>
      </w:pPr>
    </w:p>
    <w:p w:rsidR="00EB48B4" w:rsidRPr="00B6217C" w:rsidRDefault="00EB48B4" w:rsidP="00EB48B4">
      <w:pPr>
        <w:ind w:right="180"/>
        <w:jc w:val="both"/>
        <w:rPr>
          <w:rFonts w:ascii="Calibri" w:hAnsi="Calibri"/>
          <w:color w:val="000000"/>
          <w:sz w:val="22"/>
          <w:szCs w:val="22"/>
        </w:rPr>
      </w:pPr>
    </w:p>
    <w:p w:rsidR="00EB48B4" w:rsidRPr="00B6217C" w:rsidRDefault="00EB48B4" w:rsidP="00EB48B4">
      <w:pPr>
        <w:ind w:right="180"/>
        <w:jc w:val="both"/>
        <w:rPr>
          <w:rFonts w:ascii="Calibri" w:hAnsi="Calibri"/>
          <w:color w:val="000000"/>
          <w:sz w:val="22"/>
          <w:szCs w:val="22"/>
        </w:rPr>
      </w:pPr>
    </w:p>
    <w:p w:rsidR="00A501AC" w:rsidRPr="001033DB" w:rsidRDefault="00EB48B4" w:rsidP="001033DB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 w:rsidRPr="00B6217C">
        <w:rPr>
          <w:rFonts w:ascii="Calibri" w:hAnsi="Calibri"/>
          <w:sz w:val="22"/>
          <w:szCs w:val="22"/>
          <w:lang w:val="sr-Latn-RS"/>
        </w:rPr>
        <w:tab/>
      </w:r>
      <w:r w:rsidRPr="00B6217C">
        <w:rPr>
          <w:rFonts w:ascii="Calibri" w:hAnsi="Calibri"/>
          <w:sz w:val="22"/>
          <w:szCs w:val="22"/>
          <w:lang w:val="sr-Latn-RS"/>
        </w:rPr>
        <w:tab/>
      </w:r>
      <w:r w:rsidRPr="00B6217C">
        <w:rPr>
          <w:rFonts w:ascii="Calibri" w:hAnsi="Calibri"/>
          <w:sz w:val="22"/>
          <w:szCs w:val="22"/>
          <w:lang w:val="sr-Latn-RS"/>
        </w:rPr>
        <w:tab/>
      </w:r>
      <w:r w:rsidRPr="00B6217C">
        <w:rPr>
          <w:rFonts w:ascii="Calibri" w:hAnsi="Calibri"/>
          <w:sz w:val="22"/>
          <w:szCs w:val="22"/>
          <w:lang w:val="sr-Latn-RS"/>
        </w:rPr>
        <w:tab/>
      </w:r>
      <w:r w:rsidRPr="00B6217C">
        <w:rPr>
          <w:rFonts w:ascii="Calibri" w:hAnsi="Calibri"/>
          <w:sz w:val="22"/>
          <w:szCs w:val="22"/>
          <w:lang w:val="sr-Latn-RS"/>
        </w:rPr>
        <w:tab/>
        <w:t xml:space="preserve"> </w:t>
      </w:r>
    </w:p>
    <w:sectPr w:rsidR="00A501AC" w:rsidRPr="001033DB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C01CF5"/>
    <w:multiLevelType w:val="hybridMultilevel"/>
    <w:tmpl w:val="DFC04C94"/>
    <w:lvl w:ilvl="0" w:tplc="3952757E">
      <w:start w:val="1"/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5"/>
  </w:num>
  <w:num w:numId="15">
    <w:abstractNumId w:val="17"/>
  </w:num>
  <w:num w:numId="16">
    <w:abstractNumId w:val="14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31EE9"/>
    <w:rsid w:val="000557CB"/>
    <w:rsid w:val="00061B96"/>
    <w:rsid w:val="00090343"/>
    <w:rsid w:val="000A27F8"/>
    <w:rsid w:val="001033DB"/>
    <w:rsid w:val="0010537C"/>
    <w:rsid w:val="00105547"/>
    <w:rsid w:val="00121915"/>
    <w:rsid w:val="00142C4C"/>
    <w:rsid w:val="00154838"/>
    <w:rsid w:val="001762C0"/>
    <w:rsid w:val="00184863"/>
    <w:rsid w:val="00194DC7"/>
    <w:rsid w:val="00195FBA"/>
    <w:rsid w:val="001A5964"/>
    <w:rsid w:val="001B037A"/>
    <w:rsid w:val="001B622D"/>
    <w:rsid w:val="00203C84"/>
    <w:rsid w:val="002119B4"/>
    <w:rsid w:val="00220538"/>
    <w:rsid w:val="00251ABC"/>
    <w:rsid w:val="00260E5A"/>
    <w:rsid w:val="00280706"/>
    <w:rsid w:val="002868A4"/>
    <w:rsid w:val="00294CBB"/>
    <w:rsid w:val="002D69E9"/>
    <w:rsid w:val="002F270C"/>
    <w:rsid w:val="003111F9"/>
    <w:rsid w:val="0031520D"/>
    <w:rsid w:val="00316E01"/>
    <w:rsid w:val="00321CAD"/>
    <w:rsid w:val="00325138"/>
    <w:rsid w:val="003753A3"/>
    <w:rsid w:val="00444E2D"/>
    <w:rsid w:val="00455E81"/>
    <w:rsid w:val="00484086"/>
    <w:rsid w:val="00487499"/>
    <w:rsid w:val="004B22E7"/>
    <w:rsid w:val="004C6EDE"/>
    <w:rsid w:val="00507216"/>
    <w:rsid w:val="0052081C"/>
    <w:rsid w:val="00531BBD"/>
    <w:rsid w:val="00556182"/>
    <w:rsid w:val="00563E0D"/>
    <w:rsid w:val="00582FAF"/>
    <w:rsid w:val="00590D87"/>
    <w:rsid w:val="005A1518"/>
    <w:rsid w:val="005B3BCD"/>
    <w:rsid w:val="005F76AA"/>
    <w:rsid w:val="006835A2"/>
    <w:rsid w:val="0069624B"/>
    <w:rsid w:val="006B04C8"/>
    <w:rsid w:val="006B0C94"/>
    <w:rsid w:val="006F4528"/>
    <w:rsid w:val="007106E8"/>
    <w:rsid w:val="00785E86"/>
    <w:rsid w:val="00790158"/>
    <w:rsid w:val="0079684B"/>
    <w:rsid w:val="007B60B6"/>
    <w:rsid w:val="007C69F1"/>
    <w:rsid w:val="007D0772"/>
    <w:rsid w:val="007E5893"/>
    <w:rsid w:val="00801621"/>
    <w:rsid w:val="00803F94"/>
    <w:rsid w:val="00864110"/>
    <w:rsid w:val="008A3B6B"/>
    <w:rsid w:val="008C23EF"/>
    <w:rsid w:val="00906D1E"/>
    <w:rsid w:val="009242FE"/>
    <w:rsid w:val="00926ABE"/>
    <w:rsid w:val="00957978"/>
    <w:rsid w:val="00960D20"/>
    <w:rsid w:val="00967347"/>
    <w:rsid w:val="00994B98"/>
    <w:rsid w:val="009C0BE1"/>
    <w:rsid w:val="009C103D"/>
    <w:rsid w:val="009D0172"/>
    <w:rsid w:val="00A07205"/>
    <w:rsid w:val="00A15577"/>
    <w:rsid w:val="00A22601"/>
    <w:rsid w:val="00A45007"/>
    <w:rsid w:val="00A501AC"/>
    <w:rsid w:val="00A62710"/>
    <w:rsid w:val="00A80502"/>
    <w:rsid w:val="00AD20EC"/>
    <w:rsid w:val="00AF2D4B"/>
    <w:rsid w:val="00AF794E"/>
    <w:rsid w:val="00B130D9"/>
    <w:rsid w:val="00B37BC0"/>
    <w:rsid w:val="00B4266F"/>
    <w:rsid w:val="00B54D20"/>
    <w:rsid w:val="00B67C20"/>
    <w:rsid w:val="00B72B1F"/>
    <w:rsid w:val="00BE00E4"/>
    <w:rsid w:val="00BF7688"/>
    <w:rsid w:val="00C12A33"/>
    <w:rsid w:val="00C2643E"/>
    <w:rsid w:val="00C32A99"/>
    <w:rsid w:val="00C45136"/>
    <w:rsid w:val="00C60ADE"/>
    <w:rsid w:val="00CB53AC"/>
    <w:rsid w:val="00CC5FDC"/>
    <w:rsid w:val="00CD2F01"/>
    <w:rsid w:val="00D003CA"/>
    <w:rsid w:val="00D1462A"/>
    <w:rsid w:val="00D35BD9"/>
    <w:rsid w:val="00D44034"/>
    <w:rsid w:val="00D9611D"/>
    <w:rsid w:val="00D96803"/>
    <w:rsid w:val="00D97937"/>
    <w:rsid w:val="00DD5418"/>
    <w:rsid w:val="00E30DA8"/>
    <w:rsid w:val="00E316C8"/>
    <w:rsid w:val="00E61C30"/>
    <w:rsid w:val="00E90805"/>
    <w:rsid w:val="00E97BC6"/>
    <w:rsid w:val="00EA02A1"/>
    <w:rsid w:val="00EB2DF0"/>
    <w:rsid w:val="00EB48B4"/>
    <w:rsid w:val="00EE0FF0"/>
    <w:rsid w:val="00EE25CA"/>
    <w:rsid w:val="00F03E2B"/>
    <w:rsid w:val="00F27B05"/>
    <w:rsid w:val="00F311C4"/>
    <w:rsid w:val="00F35FD0"/>
    <w:rsid w:val="00F51C0D"/>
    <w:rsid w:val="00F725F7"/>
    <w:rsid w:val="00F731CE"/>
    <w:rsid w:val="00F73914"/>
    <w:rsid w:val="00FC3A07"/>
    <w:rsid w:val="00F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537F-F023-440E-9FF3-547A294C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Danica Lucic</cp:lastModifiedBy>
  <cp:revision>3</cp:revision>
  <cp:lastPrinted>2017-02-02T08:42:00Z</cp:lastPrinted>
  <dcterms:created xsi:type="dcterms:W3CDTF">2021-02-22T13:59:00Z</dcterms:created>
  <dcterms:modified xsi:type="dcterms:W3CDTF">2021-02-22T13:59:00Z</dcterms:modified>
</cp:coreProperties>
</file>