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82"/>
        <w:gridCol w:w="7655"/>
      </w:tblGrid>
      <w:tr w:rsidR="00A95E99" w:rsidRPr="000E5233" w:rsidTr="007A41E8">
        <w:trPr>
          <w:trHeight w:val="2790"/>
        </w:trPr>
        <w:tc>
          <w:tcPr>
            <w:tcW w:w="1782" w:type="dxa"/>
          </w:tcPr>
          <w:p w:rsidR="00A95E99" w:rsidRPr="000E5233" w:rsidRDefault="00A95E99" w:rsidP="00CD4592">
            <w:pPr>
              <w:tabs>
                <w:tab w:val="center" w:pos="4703"/>
                <w:tab w:val="right" w:pos="9406"/>
              </w:tabs>
              <w:spacing w:after="0"/>
              <w:ind w:left="-198" w:firstLine="108"/>
              <w:rPr>
                <w:color w:val="000000"/>
                <w:lang w:val="hu-HU"/>
              </w:rPr>
            </w:pPr>
            <w:r w:rsidRPr="000E5233"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-430626</wp:posOffset>
                  </wp:positionH>
                  <wp:positionV relativeFrom="paragraph">
                    <wp:posOffset>-77638</wp:posOffset>
                  </wp:positionV>
                  <wp:extent cx="1492250" cy="965835"/>
                  <wp:effectExtent l="0" t="0" r="0" b="5715"/>
                  <wp:wrapNone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A95E99" w:rsidRPr="000E5233" w:rsidRDefault="00A95E99" w:rsidP="00CD4592">
            <w:pPr>
              <w:tabs>
                <w:tab w:val="center" w:pos="4703"/>
                <w:tab w:val="right" w:pos="9406"/>
              </w:tabs>
              <w:spacing w:after="0"/>
              <w:rPr>
                <w:color w:val="000000"/>
                <w:sz w:val="24"/>
                <w:szCs w:val="24"/>
                <w:lang w:val="hu-HU"/>
              </w:rPr>
            </w:pPr>
            <w:r w:rsidRPr="000E5233">
              <w:rPr>
                <w:color w:val="000000"/>
                <w:sz w:val="24"/>
                <w:szCs w:val="24"/>
                <w:lang w:val="hu-HU"/>
              </w:rPr>
              <w:t>Szerb Köztársaság</w:t>
            </w:r>
          </w:p>
          <w:p w:rsidR="00A95E99" w:rsidRPr="000E5233" w:rsidRDefault="00A95E99" w:rsidP="00CD4592">
            <w:pPr>
              <w:tabs>
                <w:tab w:val="center" w:pos="4703"/>
                <w:tab w:val="right" w:pos="9406"/>
              </w:tabs>
              <w:spacing w:after="0"/>
              <w:rPr>
                <w:color w:val="000000"/>
                <w:sz w:val="24"/>
                <w:szCs w:val="24"/>
                <w:lang w:val="hu-HU"/>
              </w:rPr>
            </w:pPr>
            <w:r w:rsidRPr="000E5233">
              <w:rPr>
                <w:color w:val="000000"/>
                <w:sz w:val="24"/>
                <w:szCs w:val="24"/>
                <w:lang w:val="hu-HU"/>
              </w:rPr>
              <w:t>Vajdaság Autonóm Tartomány</w:t>
            </w:r>
          </w:p>
          <w:p w:rsidR="00A95E99" w:rsidRPr="000E5233" w:rsidRDefault="00A95E99" w:rsidP="00CD4592">
            <w:pPr>
              <w:tabs>
                <w:tab w:val="center" w:pos="4703"/>
                <w:tab w:val="right" w:pos="9406"/>
              </w:tabs>
              <w:spacing w:after="0"/>
              <w:rPr>
                <w:b/>
                <w:color w:val="000000"/>
                <w:sz w:val="24"/>
                <w:szCs w:val="24"/>
                <w:lang w:val="hu-HU"/>
              </w:rPr>
            </w:pPr>
            <w:r w:rsidRPr="000E5233">
              <w:rPr>
                <w:b/>
                <w:color w:val="000000"/>
                <w:sz w:val="24"/>
                <w:szCs w:val="24"/>
                <w:lang w:val="hu-HU"/>
              </w:rPr>
              <w:t>Tartományi Oktatási, Jogalkotási, Közigazgatási és Nemzeti Kisebbségi – Nemzeti Közösségi Titkárság</w:t>
            </w:r>
          </w:p>
          <w:p w:rsidR="00A95E99" w:rsidRPr="000E5233" w:rsidRDefault="00A95E99" w:rsidP="00CD4592">
            <w:pPr>
              <w:tabs>
                <w:tab w:val="center" w:pos="4703"/>
                <w:tab w:val="right" w:pos="9406"/>
              </w:tabs>
              <w:spacing w:after="0"/>
              <w:rPr>
                <w:color w:val="000000"/>
                <w:sz w:val="20"/>
                <w:szCs w:val="20"/>
                <w:lang w:val="hu-HU"/>
              </w:rPr>
            </w:pPr>
            <w:r w:rsidRPr="000E5233">
              <w:rPr>
                <w:color w:val="000000"/>
                <w:sz w:val="20"/>
                <w:szCs w:val="20"/>
                <w:lang w:val="hu-HU"/>
              </w:rPr>
              <w:t>Mihajlo Pupin sgt. 16., 21000 Újvidék</w:t>
            </w:r>
          </w:p>
          <w:p w:rsidR="00A95E99" w:rsidRPr="000E5233" w:rsidRDefault="007A41E8" w:rsidP="00CD4592">
            <w:pPr>
              <w:tabs>
                <w:tab w:val="center" w:pos="4703"/>
                <w:tab w:val="right" w:pos="9406"/>
              </w:tabs>
              <w:spacing w:after="0"/>
              <w:rPr>
                <w:color w:val="000000"/>
                <w:sz w:val="20"/>
                <w:szCs w:val="20"/>
                <w:lang w:val="hu-HU"/>
              </w:rPr>
            </w:pPr>
            <w:r w:rsidRPr="000E5233">
              <w:rPr>
                <w:color w:val="000000"/>
                <w:sz w:val="20"/>
                <w:szCs w:val="20"/>
                <w:lang w:val="hu-HU"/>
              </w:rPr>
              <w:t>Telefon: +381 21 487 48 67; 487 42 41</w:t>
            </w:r>
          </w:p>
          <w:p w:rsidR="00A95E99" w:rsidRPr="000E5233" w:rsidRDefault="00A95E99" w:rsidP="00CD4592">
            <w:pPr>
              <w:tabs>
                <w:tab w:val="center" w:pos="4703"/>
                <w:tab w:val="right" w:pos="9406"/>
              </w:tabs>
              <w:spacing w:after="0"/>
              <w:rPr>
                <w:color w:val="000000"/>
                <w:sz w:val="20"/>
                <w:szCs w:val="20"/>
                <w:lang w:val="hu-HU"/>
              </w:rPr>
            </w:pPr>
            <w:r w:rsidRPr="000E5233">
              <w:rPr>
                <w:color w:val="000000"/>
                <w:sz w:val="20"/>
                <w:szCs w:val="20"/>
                <w:lang w:val="hu-HU"/>
              </w:rPr>
              <w:t>ounz@vojvodinа.gov.rs</w:t>
            </w:r>
          </w:p>
          <w:p w:rsidR="007A41E8" w:rsidRPr="000E5233" w:rsidRDefault="007A41E8" w:rsidP="00CD4592">
            <w:pPr>
              <w:spacing w:after="0"/>
              <w:rPr>
                <w:color w:val="000000"/>
                <w:sz w:val="16"/>
                <w:szCs w:val="16"/>
                <w:lang w:val="hu-HU"/>
              </w:rPr>
            </w:pPr>
          </w:p>
          <w:p w:rsidR="007A41E8" w:rsidRPr="000E5233" w:rsidRDefault="007A41E8" w:rsidP="00CD4592">
            <w:pPr>
              <w:spacing w:after="0"/>
              <w:rPr>
                <w:color w:val="000000"/>
                <w:sz w:val="16"/>
                <w:szCs w:val="16"/>
                <w:lang w:val="hu-HU"/>
              </w:rPr>
            </w:pPr>
          </w:p>
          <w:p w:rsidR="00A95E99" w:rsidRPr="000E5233" w:rsidRDefault="00A95E99" w:rsidP="007A41E8">
            <w:pPr>
              <w:spacing w:after="0"/>
              <w:rPr>
                <w:color w:val="000000"/>
                <w:sz w:val="20"/>
                <w:szCs w:val="20"/>
                <w:lang w:val="hu-HU"/>
              </w:rPr>
            </w:pPr>
            <w:r w:rsidRPr="000E5233">
              <w:rPr>
                <w:color w:val="000000"/>
                <w:sz w:val="20"/>
                <w:szCs w:val="20"/>
                <w:lang w:val="hu-HU"/>
              </w:rPr>
              <w:t>SZÁM:128-451-</w:t>
            </w:r>
            <w:r w:rsidR="007A41E8" w:rsidRPr="000E5233">
              <w:rPr>
                <w:color w:val="000000"/>
                <w:sz w:val="20"/>
                <w:szCs w:val="20"/>
                <w:lang w:val="hu-HU"/>
              </w:rPr>
              <w:t>313/2021-01</w:t>
            </w:r>
            <w:r w:rsidRPr="000E5233">
              <w:rPr>
                <w:color w:val="000000"/>
                <w:sz w:val="20"/>
                <w:szCs w:val="20"/>
                <w:lang w:val="hu-HU"/>
              </w:rPr>
              <w:t xml:space="preserve">                                         </w:t>
            </w:r>
            <w:r w:rsidR="007A41E8" w:rsidRPr="000E5233">
              <w:rPr>
                <w:color w:val="000000"/>
                <w:sz w:val="20"/>
                <w:szCs w:val="20"/>
                <w:lang w:val="hu-HU"/>
              </w:rPr>
              <w:t xml:space="preserve">                   </w:t>
            </w:r>
            <w:r w:rsidR="00CD4592" w:rsidRPr="000E5233">
              <w:rPr>
                <w:color w:val="000000"/>
                <w:sz w:val="20"/>
                <w:szCs w:val="20"/>
                <w:lang w:val="hu-HU"/>
              </w:rPr>
              <w:t xml:space="preserve">   </w:t>
            </w:r>
            <w:r w:rsidR="007A41E8" w:rsidRPr="000E5233">
              <w:rPr>
                <w:color w:val="000000"/>
                <w:sz w:val="20"/>
                <w:szCs w:val="20"/>
                <w:lang w:val="hu-HU"/>
              </w:rPr>
              <w:t xml:space="preserve"> </w:t>
            </w:r>
            <w:r w:rsidRPr="000E5233">
              <w:rPr>
                <w:color w:val="000000"/>
                <w:sz w:val="20"/>
                <w:szCs w:val="20"/>
                <w:lang w:val="hu-HU"/>
              </w:rPr>
              <w:t>DÁTUM:</w:t>
            </w:r>
            <w:r w:rsidR="00CD4592" w:rsidRPr="000E5233">
              <w:rPr>
                <w:color w:val="000000"/>
                <w:sz w:val="20"/>
                <w:szCs w:val="20"/>
                <w:lang w:val="hu-HU"/>
              </w:rPr>
              <w:t xml:space="preserve"> 202</w:t>
            </w:r>
            <w:r w:rsidR="00AB5F6F">
              <w:rPr>
                <w:color w:val="000000"/>
                <w:sz w:val="20"/>
                <w:szCs w:val="20"/>
                <w:lang w:val="hu-HU"/>
              </w:rPr>
              <w:t>1</w:t>
            </w:r>
            <w:r w:rsidR="00CD4592" w:rsidRPr="000E5233">
              <w:rPr>
                <w:color w:val="000000"/>
                <w:sz w:val="20"/>
                <w:szCs w:val="20"/>
                <w:lang w:val="hu-HU"/>
              </w:rPr>
              <w:t xml:space="preserve">. február </w:t>
            </w:r>
            <w:r w:rsidR="007A41E8" w:rsidRPr="000E5233">
              <w:rPr>
                <w:color w:val="000000"/>
                <w:sz w:val="20"/>
                <w:szCs w:val="20"/>
                <w:lang w:val="hu-HU"/>
              </w:rPr>
              <w:t>24</w:t>
            </w:r>
            <w:r w:rsidR="00CD4592" w:rsidRPr="000E5233">
              <w:rPr>
                <w:color w:val="000000"/>
                <w:sz w:val="20"/>
                <w:szCs w:val="20"/>
                <w:lang w:val="hu-HU"/>
              </w:rPr>
              <w:t>.</w:t>
            </w:r>
          </w:p>
          <w:p w:rsidR="007A41E8" w:rsidRPr="000E5233" w:rsidRDefault="007A41E8" w:rsidP="007A41E8">
            <w:pPr>
              <w:spacing w:after="0"/>
              <w:rPr>
                <w:color w:val="000000"/>
                <w:sz w:val="20"/>
                <w:szCs w:val="20"/>
                <w:lang w:val="hu-HU"/>
              </w:rPr>
            </w:pPr>
          </w:p>
        </w:tc>
      </w:tr>
    </w:tbl>
    <w:p w:rsidR="007A41E8" w:rsidRPr="000E5233" w:rsidRDefault="00CD4592" w:rsidP="007A41E8">
      <w:pPr>
        <w:spacing w:after="0"/>
        <w:jc w:val="both"/>
        <w:rPr>
          <w:rFonts w:eastAsia="Calibri" w:cs="Times New Roman"/>
          <w:lang w:val="hu-HU"/>
        </w:rPr>
      </w:pPr>
      <w:r w:rsidRPr="000E5233">
        <w:rPr>
          <w:rFonts w:cs="Times New Roman"/>
          <w:sz w:val="24"/>
          <w:szCs w:val="24"/>
          <w:lang w:val="hu-HU"/>
        </w:rPr>
        <w:tab/>
      </w:r>
      <w:r w:rsidR="007A41E8" w:rsidRPr="000E5233">
        <w:rPr>
          <w:rFonts w:eastAsia="Calibri" w:cs="Times New Roman"/>
          <w:lang w:val="hu-HU"/>
        </w:rPr>
        <w:t>A Vajdaság autonóm tartományi általános és középiskolai oktatás-nevelésre és a diákjólétre vonatkozó programtevékenységek és projektek finanszírozásá</w:t>
      </w:r>
      <w:r w:rsidR="002512B6" w:rsidRPr="000E5233">
        <w:rPr>
          <w:rFonts w:eastAsia="Calibri" w:cs="Times New Roman"/>
          <w:lang w:val="hu-HU"/>
        </w:rPr>
        <w:t>ra és társfinanszírozására irányuló</w:t>
      </w:r>
      <w:r w:rsidR="007A41E8" w:rsidRPr="000E5233">
        <w:rPr>
          <w:rFonts w:eastAsia="Calibri" w:cs="Times New Roman"/>
          <w:lang w:val="hu-HU"/>
        </w:rPr>
        <w:t xml:space="preserve"> költségvetési eszközök odaítéléséről szóló tartományi képviselőházi rendelet (VAT Hivatalos Lapja, 14/2015. és 10/2017. szám) 5. szakasza, </w:t>
      </w:r>
      <w:r w:rsidR="00566987" w:rsidRPr="000E5233">
        <w:rPr>
          <w:lang w:val="hu-HU"/>
        </w:rPr>
        <w:t>a Tartományi Oktatási, Jogalkotási, Közigazgatási és Nemzeti Kisebbségi – Nemzeti Közösségi Titkárság költség</w:t>
      </w:r>
      <w:r w:rsidR="002512B6" w:rsidRPr="000E5233">
        <w:rPr>
          <w:lang w:val="hu-HU"/>
        </w:rPr>
        <w:t>vetési eszközeinek a</w:t>
      </w:r>
      <w:r w:rsidR="00566987" w:rsidRPr="000E5233">
        <w:rPr>
          <w:lang w:val="hu-HU"/>
        </w:rPr>
        <w:t xml:space="preserve"> Vajdaság autonóm tartományi általános- és középiskolai oktatási és nevelési programok és projektek finanszírozására és társfinanszírozására</w:t>
      </w:r>
      <w:r w:rsidR="007A41E8" w:rsidRPr="000E5233">
        <w:rPr>
          <w:rFonts w:cs="Calibri"/>
          <w:lang w:val="hu-HU"/>
        </w:rPr>
        <w:t xml:space="preserve"> </w:t>
      </w:r>
      <w:r w:rsidR="002512B6" w:rsidRPr="000E5233">
        <w:rPr>
          <w:rFonts w:cs="Calibri"/>
          <w:lang w:val="hu-HU"/>
        </w:rPr>
        <w:t>odaítélendő eszközeiről szóló</w:t>
      </w:r>
      <w:r w:rsidR="007A41E8" w:rsidRPr="000E5233">
        <w:rPr>
          <w:rFonts w:cs="Calibri"/>
          <w:lang w:val="hu-HU"/>
        </w:rPr>
        <w:t xml:space="preserve"> szabályzat (VAT Hivatalos Lapja, 10/2020. szám) 3. szakasza alapján</w:t>
      </w:r>
      <w:r w:rsidR="00566987" w:rsidRPr="000E5233">
        <w:rPr>
          <w:rFonts w:eastAsia="Calibri" w:cs="Times New Roman"/>
          <w:bCs/>
          <w:lang w:val="hu-HU"/>
        </w:rPr>
        <w:t xml:space="preserve">, </w:t>
      </w:r>
      <w:r w:rsidR="007A41E8" w:rsidRPr="000E5233">
        <w:rPr>
          <w:rFonts w:eastAsia="Calibri" w:cs="Times New Roman"/>
          <w:lang w:val="hu-HU"/>
        </w:rPr>
        <w:t>figyelemmel a Vajdaság Autonóm Tartomány 2021. évi költségvetéséről szóló tartományi képviselőházi rendeletre (VAT Hivatalos Lapja, 66/2020. szám) a Tartományi Oktatási, Jogalkotási, Közigazgatási és Nemzeti Kisebbség</w:t>
      </w:r>
      <w:r w:rsidR="00566987" w:rsidRPr="000E5233">
        <w:rPr>
          <w:rFonts w:eastAsia="Calibri" w:cs="Times New Roman"/>
          <w:lang w:val="hu-HU"/>
        </w:rPr>
        <w:t>i – Nemzeti Közösségi Titkárság</w:t>
      </w:r>
    </w:p>
    <w:p w:rsidR="00CD4592" w:rsidRPr="000E5233" w:rsidRDefault="00CD4592" w:rsidP="00CD4592">
      <w:pPr>
        <w:spacing w:after="0"/>
        <w:jc w:val="both"/>
        <w:rPr>
          <w:rFonts w:cs="Calibri"/>
          <w:lang w:val="hu-HU"/>
        </w:rPr>
      </w:pPr>
    </w:p>
    <w:p w:rsidR="00566987" w:rsidRPr="000E5233" w:rsidRDefault="00566987" w:rsidP="00CD4592">
      <w:pPr>
        <w:spacing w:after="0"/>
        <w:jc w:val="both"/>
        <w:rPr>
          <w:rFonts w:cs="Calibri"/>
          <w:lang w:val="hu-HU"/>
        </w:rPr>
      </w:pPr>
    </w:p>
    <w:p w:rsidR="00A95E99" w:rsidRPr="000E5233" w:rsidRDefault="00566987" w:rsidP="00566987">
      <w:pPr>
        <w:spacing w:after="0"/>
        <w:jc w:val="center"/>
        <w:rPr>
          <w:rFonts w:cs="Calibri"/>
          <w:b/>
          <w:lang w:val="hu-HU"/>
        </w:rPr>
      </w:pPr>
      <w:r w:rsidRPr="000E5233">
        <w:rPr>
          <w:rFonts w:cs="Calibri"/>
          <w:b/>
          <w:lang w:val="hu-HU"/>
        </w:rPr>
        <w:t>PÁLYÁZATOT</w:t>
      </w:r>
    </w:p>
    <w:p w:rsidR="00566987" w:rsidRPr="000E5233" w:rsidRDefault="00566987" w:rsidP="00566987">
      <w:pPr>
        <w:spacing w:after="0"/>
        <w:jc w:val="center"/>
        <w:rPr>
          <w:rFonts w:cs="Calibri"/>
          <w:lang w:val="hu-HU"/>
        </w:rPr>
      </w:pPr>
      <w:r w:rsidRPr="000E5233">
        <w:rPr>
          <w:rFonts w:cs="Calibri"/>
          <w:lang w:val="hu-HU"/>
        </w:rPr>
        <w:t>hirdet</w:t>
      </w:r>
    </w:p>
    <w:p w:rsidR="00A95E99" w:rsidRPr="000E5233" w:rsidRDefault="00A95E99" w:rsidP="00566987">
      <w:pPr>
        <w:spacing w:after="0"/>
        <w:ind w:right="-360"/>
        <w:jc w:val="center"/>
        <w:rPr>
          <w:rFonts w:cs="Calibri"/>
          <w:b/>
          <w:lang w:val="hu-HU"/>
        </w:rPr>
      </w:pPr>
      <w:r w:rsidRPr="000E5233">
        <w:rPr>
          <w:rFonts w:cs="Calibri"/>
          <w:b/>
          <w:lang w:val="hu-HU"/>
        </w:rPr>
        <w:t>A KÖZÉPISKOLAI OKTATÁSI-NEVELÉSI F</w:t>
      </w:r>
      <w:r w:rsidR="002512B6" w:rsidRPr="000E5233">
        <w:rPr>
          <w:rFonts w:cs="Calibri"/>
          <w:b/>
          <w:lang w:val="hu-HU"/>
        </w:rPr>
        <w:t>OLYAMAT SZÍNVONALÁNAK EMELÉSÉRE</w:t>
      </w:r>
      <w:r w:rsidRPr="000E5233">
        <w:rPr>
          <w:rFonts w:cs="Calibri"/>
          <w:b/>
          <w:lang w:val="hu-HU"/>
        </w:rPr>
        <w:t xml:space="preserve"> IRÁNYULÓ PROJEKTEK KAPCSÁN - A VAJDASÁG AUTONÓM TARTOMÁNY</w:t>
      </w:r>
      <w:r w:rsidR="00CD4592" w:rsidRPr="000E5233">
        <w:rPr>
          <w:rFonts w:cs="Calibri"/>
          <w:b/>
          <w:lang w:val="hu-HU"/>
        </w:rPr>
        <w:t>I</w:t>
      </w:r>
      <w:r w:rsidRPr="000E5233">
        <w:rPr>
          <w:rFonts w:cs="Calibri"/>
          <w:b/>
          <w:lang w:val="hu-HU"/>
        </w:rPr>
        <w:t xml:space="preserve"> SZÉKHELYŰ KÖZÉPISKOLÁK</w:t>
      </w:r>
      <w:r w:rsidR="00566987" w:rsidRPr="000E5233">
        <w:rPr>
          <w:rFonts w:cs="Calibri"/>
          <w:b/>
          <w:lang w:val="hu-HU"/>
        </w:rPr>
        <w:t>NAK</w:t>
      </w:r>
      <w:r w:rsidRPr="000E5233">
        <w:rPr>
          <w:rFonts w:cs="Calibri"/>
          <w:b/>
          <w:lang w:val="hu-HU"/>
        </w:rPr>
        <w:t xml:space="preserve"> A 202</w:t>
      </w:r>
      <w:r w:rsidR="00566987" w:rsidRPr="000E5233">
        <w:rPr>
          <w:rFonts w:cs="Calibri"/>
          <w:b/>
          <w:lang w:val="hu-HU"/>
        </w:rPr>
        <w:t>1</w:t>
      </w:r>
      <w:r w:rsidRPr="000E5233">
        <w:rPr>
          <w:rFonts w:cs="Calibri"/>
          <w:b/>
          <w:lang w:val="hu-HU"/>
        </w:rPr>
        <w:t>. ÉVI ÚJVIDÉKI</w:t>
      </w:r>
      <w:r w:rsidR="00566987" w:rsidRPr="000E5233">
        <w:rPr>
          <w:rFonts w:cs="Calibri"/>
          <w:b/>
          <w:lang w:val="hu-HU"/>
        </w:rPr>
        <w:t xml:space="preserve"> ÚTMUTATÓK - EXPOONLINE</w:t>
      </w:r>
      <w:r w:rsidRPr="000E5233">
        <w:rPr>
          <w:rFonts w:cs="Calibri"/>
          <w:b/>
          <w:lang w:val="hu-HU"/>
        </w:rPr>
        <w:t xml:space="preserve"> OKTATÁSI </w:t>
      </w:r>
      <w:r w:rsidR="002512B6" w:rsidRPr="000E5233">
        <w:rPr>
          <w:rFonts w:cs="Calibri"/>
          <w:b/>
          <w:lang w:val="hu-HU"/>
        </w:rPr>
        <w:t xml:space="preserve">KIÁLLÍTÁSON VALÓ </w:t>
      </w:r>
      <w:r w:rsidR="00566987" w:rsidRPr="000E5233">
        <w:rPr>
          <w:rFonts w:cs="Calibri"/>
          <w:b/>
          <w:lang w:val="hu-HU"/>
        </w:rPr>
        <w:t xml:space="preserve">RÉSZVÉTELI KÖLTSÉGEINEK </w:t>
      </w:r>
      <w:r w:rsidR="00CD4592" w:rsidRPr="000E5233">
        <w:rPr>
          <w:rFonts w:cs="Calibri"/>
          <w:b/>
          <w:lang w:val="hu-HU"/>
        </w:rPr>
        <w:t>FINANSZÍROZÁSÁRA</w:t>
      </w:r>
      <w:r w:rsidRPr="000E5233">
        <w:rPr>
          <w:rFonts w:cs="Calibri"/>
          <w:b/>
          <w:lang w:val="hu-HU"/>
        </w:rPr>
        <w:t xml:space="preserve"> ÉS </w:t>
      </w:r>
      <w:r w:rsidR="00CD4592" w:rsidRPr="000E5233">
        <w:rPr>
          <w:rFonts w:cs="Calibri"/>
          <w:b/>
          <w:lang w:val="hu-HU"/>
        </w:rPr>
        <w:t>TÁRSFINANSZÍROZÁSÁRA</w:t>
      </w:r>
    </w:p>
    <w:p w:rsidR="00A95E99" w:rsidRPr="000E5233" w:rsidRDefault="00A95E99" w:rsidP="00A95E99">
      <w:pPr>
        <w:ind w:right="180"/>
        <w:jc w:val="both"/>
        <w:rPr>
          <w:rFonts w:cs="Calibri"/>
          <w:lang w:val="hu-HU"/>
        </w:rPr>
      </w:pPr>
    </w:p>
    <w:p w:rsidR="00A95E99" w:rsidRPr="000E5233" w:rsidRDefault="00CD4592" w:rsidP="00A95E99">
      <w:pPr>
        <w:ind w:right="180"/>
        <w:jc w:val="both"/>
        <w:rPr>
          <w:rFonts w:cs="Calibri"/>
          <w:lang w:val="hu-HU"/>
        </w:rPr>
      </w:pPr>
      <w:r w:rsidRPr="000E5233">
        <w:rPr>
          <w:rFonts w:cs="Calibri"/>
          <w:lang w:val="hu-HU"/>
        </w:rPr>
        <w:tab/>
      </w:r>
      <w:r w:rsidR="00A95E99" w:rsidRPr="000E5233">
        <w:rPr>
          <w:rFonts w:cs="Calibri"/>
          <w:lang w:val="hu-HU"/>
        </w:rPr>
        <w:t>A Tartományi Oktatási, Jogalkotási, Közigazgatási és Nemzeti Kisebbségi – Nemzeti Közösségi Titkárság</w:t>
      </w:r>
      <w:r w:rsidR="00932A0A" w:rsidRPr="000E5233">
        <w:rPr>
          <w:rFonts w:cs="Calibri"/>
          <w:lang w:val="hu-HU"/>
        </w:rPr>
        <w:t xml:space="preserve"> </w:t>
      </w:r>
      <w:r w:rsidR="00A95E99" w:rsidRPr="000E5233">
        <w:rPr>
          <w:rFonts w:cs="Calibri"/>
          <w:lang w:val="hu-HU"/>
        </w:rPr>
        <w:t>a 202</w:t>
      </w:r>
      <w:r w:rsidR="00932A0A" w:rsidRPr="000E5233">
        <w:rPr>
          <w:rFonts w:cs="Calibri"/>
          <w:lang w:val="hu-HU"/>
        </w:rPr>
        <w:t xml:space="preserve">1-es </w:t>
      </w:r>
      <w:r w:rsidR="00A95E99" w:rsidRPr="000E5233">
        <w:rPr>
          <w:rFonts w:cs="Calibri"/>
          <w:lang w:val="hu-HU"/>
        </w:rPr>
        <w:t>költségvetési év pénzügyi tervével</w:t>
      </w:r>
      <w:r w:rsidR="00756614" w:rsidRPr="000E5233">
        <w:rPr>
          <w:rFonts w:cs="Calibri"/>
          <w:lang w:val="hu-HU"/>
        </w:rPr>
        <w:t xml:space="preserve"> és lehetőségeivel összhangban, </w:t>
      </w:r>
      <w:r w:rsidR="00A95E99" w:rsidRPr="000E5233">
        <w:rPr>
          <w:rFonts w:cs="Calibri"/>
          <w:lang w:val="hu-HU"/>
        </w:rPr>
        <w:t>a középiskolai oktatási</w:t>
      </w:r>
      <w:r w:rsidR="00756614" w:rsidRPr="000E5233">
        <w:rPr>
          <w:rFonts w:cs="Calibri"/>
          <w:lang w:val="hu-HU"/>
        </w:rPr>
        <w:t>-nevelési folyamat</w:t>
      </w:r>
      <w:r w:rsidR="00A95E99" w:rsidRPr="000E5233">
        <w:rPr>
          <w:rFonts w:cs="Calibri"/>
          <w:lang w:val="hu-HU"/>
        </w:rPr>
        <w:t xml:space="preserve"> színvonalának emelése területén – a Vajdaság autonóm ta</w:t>
      </w:r>
      <w:r w:rsidR="00932A0A" w:rsidRPr="000E5233">
        <w:rPr>
          <w:rFonts w:cs="Calibri"/>
          <w:lang w:val="hu-HU"/>
        </w:rPr>
        <w:t xml:space="preserve">rtományi székhelyű középiskoláknak </w:t>
      </w:r>
      <w:r w:rsidR="00756614" w:rsidRPr="000E5233">
        <w:rPr>
          <w:rFonts w:cs="Calibri"/>
          <w:lang w:val="hu-HU"/>
        </w:rPr>
        <w:t>az újvidéki</w:t>
      </w:r>
      <w:r w:rsidR="00932A0A" w:rsidRPr="000E5233">
        <w:rPr>
          <w:rFonts w:cs="Calibri"/>
          <w:lang w:val="hu-HU"/>
        </w:rPr>
        <w:t xml:space="preserve"> Útmutatók – </w:t>
      </w:r>
      <w:r w:rsidR="00CB73C7" w:rsidRPr="000E5233">
        <w:rPr>
          <w:rFonts w:cs="Calibri"/>
          <w:lang w:val="hu-HU"/>
        </w:rPr>
        <w:t>EXPOONLINE</w:t>
      </w:r>
      <w:r w:rsidR="00932A0A" w:rsidRPr="000E5233">
        <w:rPr>
          <w:rFonts w:cs="Calibri"/>
          <w:lang w:val="hu-HU"/>
        </w:rPr>
        <w:t xml:space="preserve"> </w:t>
      </w:r>
      <w:r w:rsidR="00756614" w:rsidRPr="000E5233">
        <w:rPr>
          <w:rFonts w:cs="Calibri"/>
          <w:lang w:val="hu-HU"/>
        </w:rPr>
        <w:t>Oktatási K</w:t>
      </w:r>
      <w:r w:rsidR="00932A0A" w:rsidRPr="000E5233">
        <w:rPr>
          <w:rFonts w:cs="Calibri"/>
          <w:lang w:val="hu-HU"/>
        </w:rPr>
        <w:t>iállításon</w:t>
      </w:r>
      <w:r w:rsidR="00A95E99" w:rsidRPr="000E5233">
        <w:rPr>
          <w:rFonts w:cs="Calibri"/>
          <w:lang w:val="hu-HU"/>
        </w:rPr>
        <w:t xml:space="preserve"> való </w:t>
      </w:r>
      <w:r w:rsidR="00932A0A" w:rsidRPr="000E5233">
        <w:rPr>
          <w:rFonts w:cs="Calibri"/>
          <w:lang w:val="hu-HU"/>
        </w:rPr>
        <w:t>részvételi költségeire</w:t>
      </w:r>
      <w:r w:rsidR="00A95E99" w:rsidRPr="000E5233">
        <w:rPr>
          <w:rFonts w:cs="Calibri"/>
          <w:lang w:val="hu-HU"/>
        </w:rPr>
        <w:t xml:space="preserve"> vonatkozó projekteket </w:t>
      </w:r>
      <w:r w:rsidR="00756614" w:rsidRPr="000E5233">
        <w:rPr>
          <w:rFonts w:cs="Calibri"/>
          <w:lang w:val="hu-HU"/>
        </w:rPr>
        <w:t>a 202</w:t>
      </w:r>
      <w:r w:rsidR="00932A0A" w:rsidRPr="000E5233">
        <w:rPr>
          <w:rFonts w:cs="Calibri"/>
          <w:lang w:val="hu-HU"/>
        </w:rPr>
        <w:t>1</w:t>
      </w:r>
      <w:r w:rsidR="00756614" w:rsidRPr="000E5233">
        <w:rPr>
          <w:rFonts w:cs="Calibri"/>
          <w:lang w:val="hu-HU"/>
        </w:rPr>
        <w:t xml:space="preserve">. évben </w:t>
      </w:r>
      <w:r w:rsidR="00932A0A" w:rsidRPr="000E5233">
        <w:rPr>
          <w:rFonts w:cs="Calibri"/>
          <w:b/>
          <w:lang w:val="hu-HU"/>
        </w:rPr>
        <w:t>1</w:t>
      </w:r>
      <w:r w:rsidR="00756614" w:rsidRPr="000E5233">
        <w:rPr>
          <w:rFonts w:cs="Calibri"/>
          <w:b/>
          <w:lang w:val="hu-HU"/>
        </w:rPr>
        <w:t>.</w:t>
      </w:r>
      <w:r w:rsidR="00A95E99" w:rsidRPr="000E5233">
        <w:rPr>
          <w:rFonts w:cs="Calibri"/>
          <w:b/>
          <w:lang w:val="hu-HU"/>
        </w:rPr>
        <w:t>000</w:t>
      </w:r>
      <w:r w:rsidR="00756614" w:rsidRPr="000E5233">
        <w:rPr>
          <w:rFonts w:cs="Calibri"/>
          <w:b/>
          <w:lang w:val="hu-HU"/>
        </w:rPr>
        <w:t>.</w:t>
      </w:r>
      <w:r w:rsidR="00A95E99" w:rsidRPr="000E5233">
        <w:rPr>
          <w:rFonts w:cs="Calibri"/>
          <w:b/>
          <w:lang w:val="hu-HU"/>
        </w:rPr>
        <w:t xml:space="preserve">000,00 dinár </w:t>
      </w:r>
      <w:r w:rsidR="00A83CA0" w:rsidRPr="000E5233">
        <w:rPr>
          <w:rFonts w:cs="Calibri"/>
          <w:lang w:val="hu-HU"/>
        </w:rPr>
        <w:t>összegben finanszírozza és társfinanszírozza</w:t>
      </w:r>
      <w:r w:rsidR="00A95E99" w:rsidRPr="000E5233">
        <w:rPr>
          <w:rFonts w:cs="Calibri"/>
          <w:lang w:val="hu-HU"/>
        </w:rPr>
        <w:t>.</w:t>
      </w:r>
    </w:p>
    <w:p w:rsidR="00CB73C7" w:rsidRPr="000E5233" w:rsidRDefault="00932A0A" w:rsidP="00CB73C7">
      <w:pPr>
        <w:ind w:right="180"/>
        <w:jc w:val="both"/>
        <w:rPr>
          <w:color w:val="000000"/>
          <w:lang w:val="hu-HU"/>
        </w:rPr>
      </w:pPr>
      <w:r w:rsidRPr="000E5233">
        <w:rPr>
          <w:color w:val="000000"/>
          <w:lang w:val="hu-HU"/>
        </w:rPr>
        <w:tab/>
        <w:t>Pályázhatnak a Vajdaság autonóm tartományi középiskolai intézmények, melyeknek alapítója a Szerb Köztársaság, az autonóm tartomány vagy a helyi önkormányzat. A szóban forgó eszközöket a középiskolai oktatási és nevelési folyamat színvonalának</w:t>
      </w:r>
      <w:r w:rsidR="00A83CA0" w:rsidRPr="000E5233">
        <w:rPr>
          <w:color w:val="000000"/>
          <w:lang w:val="hu-HU"/>
        </w:rPr>
        <w:t xml:space="preserve"> emelésére</w:t>
      </w:r>
      <w:r w:rsidRPr="000E5233">
        <w:rPr>
          <w:color w:val="000000"/>
          <w:lang w:val="hu-HU"/>
        </w:rPr>
        <w:t xml:space="preserve"> – a Vajdaság autonóm tartományi székhelyű közé</w:t>
      </w:r>
      <w:r w:rsidR="00CB73C7" w:rsidRPr="000E5233">
        <w:rPr>
          <w:color w:val="000000"/>
          <w:lang w:val="hu-HU"/>
        </w:rPr>
        <w:t xml:space="preserve">piskoláknak </w:t>
      </w:r>
      <w:r w:rsidRPr="000E5233">
        <w:rPr>
          <w:color w:val="000000"/>
          <w:lang w:val="hu-HU"/>
        </w:rPr>
        <w:t>a 20</w:t>
      </w:r>
      <w:r w:rsidR="00CB73C7" w:rsidRPr="000E5233">
        <w:rPr>
          <w:color w:val="000000"/>
          <w:lang w:val="hu-HU"/>
        </w:rPr>
        <w:t>21</w:t>
      </w:r>
      <w:r w:rsidRPr="000E5233">
        <w:rPr>
          <w:color w:val="000000"/>
          <w:lang w:val="hu-HU"/>
        </w:rPr>
        <w:t xml:space="preserve">. március </w:t>
      </w:r>
      <w:r w:rsidR="00CB73C7" w:rsidRPr="000E5233">
        <w:rPr>
          <w:color w:val="000000"/>
          <w:lang w:val="hu-HU"/>
        </w:rPr>
        <w:t>24</w:t>
      </w:r>
      <w:r w:rsidRPr="000E5233">
        <w:rPr>
          <w:color w:val="000000"/>
          <w:lang w:val="hu-HU"/>
        </w:rPr>
        <w:t xml:space="preserve">-étől </w:t>
      </w:r>
      <w:r w:rsidR="00CB73C7" w:rsidRPr="000E5233">
        <w:rPr>
          <w:color w:val="000000"/>
          <w:lang w:val="hu-HU"/>
        </w:rPr>
        <w:t>26-á</w:t>
      </w:r>
      <w:r w:rsidRPr="000E5233">
        <w:rPr>
          <w:color w:val="000000"/>
          <w:lang w:val="hu-HU"/>
        </w:rPr>
        <w:t xml:space="preserve">ig, Újvidéken megrendezésre kerülő </w:t>
      </w:r>
      <w:r w:rsidR="00CB73C7" w:rsidRPr="000E5233">
        <w:rPr>
          <w:color w:val="000000"/>
          <w:lang w:val="hu-HU"/>
        </w:rPr>
        <w:t>Útmutatók – EXPOONLINE oktatási kiállításon</w:t>
      </w:r>
      <w:r w:rsidRPr="000E5233">
        <w:rPr>
          <w:color w:val="000000"/>
          <w:lang w:val="hu-HU"/>
        </w:rPr>
        <w:t xml:space="preserve"> való </w:t>
      </w:r>
      <w:r w:rsidR="00CB73C7" w:rsidRPr="000E5233">
        <w:rPr>
          <w:color w:val="000000"/>
          <w:lang w:val="hu-HU"/>
        </w:rPr>
        <w:t xml:space="preserve">részvételi </w:t>
      </w:r>
      <w:r w:rsidRPr="000E5233">
        <w:rPr>
          <w:color w:val="000000"/>
          <w:lang w:val="hu-HU"/>
        </w:rPr>
        <w:t>költségeire szánták.</w:t>
      </w:r>
    </w:p>
    <w:p w:rsidR="00CB73C7" w:rsidRPr="000E5233" w:rsidRDefault="00CB73C7" w:rsidP="00CB73C7">
      <w:pPr>
        <w:ind w:right="180"/>
        <w:jc w:val="both"/>
        <w:rPr>
          <w:lang w:val="hu-HU"/>
        </w:rPr>
      </w:pPr>
      <w:r w:rsidRPr="000E5233">
        <w:rPr>
          <w:color w:val="000000"/>
          <w:lang w:val="hu-HU"/>
        </w:rPr>
        <w:tab/>
      </w:r>
      <w:r w:rsidRPr="000E5233">
        <w:rPr>
          <w:lang w:val="hu-HU"/>
        </w:rPr>
        <w:t xml:space="preserve">A pályázónak a pályázati jelentkezéshez mellékelnie kell: </w:t>
      </w:r>
    </w:p>
    <w:p w:rsidR="00CB73C7" w:rsidRPr="000E5233" w:rsidRDefault="00CB73C7" w:rsidP="00CB73C7">
      <w:pPr>
        <w:pStyle w:val="ListParagraph"/>
        <w:numPr>
          <w:ilvl w:val="0"/>
          <w:numId w:val="4"/>
        </w:numPr>
        <w:ind w:right="180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0E5233">
        <w:rPr>
          <w:rFonts w:asciiTheme="minorHAnsi" w:hAnsiTheme="minorHAnsi"/>
          <w:sz w:val="22"/>
          <w:szCs w:val="22"/>
          <w:lang w:val="hu-HU"/>
        </w:rPr>
        <w:t>az adóazonosító számáról szóló igazolás fénymásolatát,</w:t>
      </w:r>
    </w:p>
    <w:p w:rsidR="00A83CA0" w:rsidRPr="000E5233" w:rsidRDefault="00CB73C7" w:rsidP="00A83CA0">
      <w:pPr>
        <w:pStyle w:val="ListParagraph"/>
        <w:numPr>
          <w:ilvl w:val="0"/>
          <w:numId w:val="4"/>
        </w:numPr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0E5233">
        <w:rPr>
          <w:rFonts w:asciiTheme="minorHAnsi" w:hAnsiTheme="minorHAnsi"/>
          <w:sz w:val="22"/>
          <w:szCs w:val="22"/>
          <w:lang w:val="hu-HU"/>
        </w:rPr>
        <w:lastRenderedPageBreak/>
        <w:t>az ajánlattevő ajánlatát/előszámláját –</w:t>
      </w:r>
      <w:r w:rsidR="00A83CA0" w:rsidRPr="000E5233">
        <w:rPr>
          <w:rFonts w:asciiTheme="minorHAnsi" w:hAnsiTheme="minorHAnsi"/>
          <w:sz w:val="22"/>
          <w:szCs w:val="22"/>
          <w:lang w:val="hu-HU"/>
        </w:rPr>
        <w:t xml:space="preserve"> a 2021. évi újvidéki Útmutatók – EXPOONLINE Oktatási Kiállításon való részvételi költségekre vonatkozóan.</w:t>
      </w:r>
    </w:p>
    <w:p w:rsidR="008F7BB4" w:rsidRPr="000E5233" w:rsidRDefault="008F7BB4" w:rsidP="008F7BB4">
      <w:pPr>
        <w:ind w:right="180"/>
        <w:jc w:val="both"/>
        <w:rPr>
          <w:lang w:val="hu-HU"/>
        </w:rPr>
      </w:pPr>
    </w:p>
    <w:p w:rsidR="008F7BB4" w:rsidRPr="000E5233" w:rsidRDefault="008F7BB4" w:rsidP="008F7BB4">
      <w:pPr>
        <w:ind w:right="180"/>
        <w:jc w:val="both"/>
        <w:rPr>
          <w:b/>
          <w:lang w:val="hu-HU"/>
        </w:rPr>
      </w:pPr>
      <w:r w:rsidRPr="000E5233">
        <w:rPr>
          <w:b/>
          <w:lang w:val="hu-HU"/>
        </w:rPr>
        <w:t>A KÉRELMEK ELBÍRÁLÁSA ÉS A PÁLYÁZÁS MÓDJA</w:t>
      </w:r>
    </w:p>
    <w:p w:rsidR="008F7BB4" w:rsidRPr="000E5233" w:rsidRDefault="008F7BB4" w:rsidP="006932CE">
      <w:pPr>
        <w:ind w:right="180" w:firstLine="720"/>
        <w:jc w:val="both"/>
        <w:rPr>
          <w:lang w:val="hu-HU"/>
        </w:rPr>
      </w:pPr>
      <w:r w:rsidRPr="000E5233">
        <w:rPr>
          <w:lang w:val="hu-HU"/>
        </w:rPr>
        <w:t>Az eszközöknek az igénybe vevők számára való odaítéléséről - a beérkezett kérelmeket megvitató pályázati bizottság javaslatára - az oktatásban illetékes tartományi titkár dönt.</w:t>
      </w:r>
    </w:p>
    <w:p w:rsidR="008F7BB4" w:rsidRPr="000E5233" w:rsidRDefault="008F7BB4" w:rsidP="00584FED">
      <w:pPr>
        <w:ind w:right="180" w:firstLine="720"/>
        <w:jc w:val="both"/>
        <w:rPr>
          <w:lang w:val="hu-HU"/>
        </w:rPr>
      </w:pPr>
      <w:r w:rsidRPr="000E5233">
        <w:rPr>
          <w:lang w:val="hu-HU"/>
        </w:rPr>
        <w:t>Az eszközök odaítélésének kritériumai a Tartományi Oktatási, Jogalkotási, Közigazgatási és Nemzeti Kisebbségi – Nemzeti Közösségi Titkárság eszközeinek Vajdaság Autonóm Tartományban az általános és középiskolai oktatás</w:t>
      </w:r>
      <w:r w:rsidR="006932CE" w:rsidRPr="000E5233">
        <w:rPr>
          <w:lang w:val="hu-HU"/>
        </w:rPr>
        <w:t>i és nevelési programok és projektek</w:t>
      </w:r>
      <w:r w:rsidRPr="000E5233">
        <w:rPr>
          <w:lang w:val="hu-HU"/>
        </w:rPr>
        <w:t xml:space="preserve"> finanszírozására és társfin</w:t>
      </w:r>
      <w:r w:rsidR="006932CE" w:rsidRPr="000E5233">
        <w:rPr>
          <w:lang w:val="hu-HU"/>
        </w:rPr>
        <w:t>anszírozására odaítélendő költségvetési eszközökről</w:t>
      </w:r>
      <w:r w:rsidRPr="000E5233">
        <w:rPr>
          <w:lang w:val="hu-HU"/>
        </w:rPr>
        <w:t xml:space="preserve"> szóló szabályzat 11. szakasza 2. pontjának 1., 2. és 5. fordulatával összhangban a következők: </w:t>
      </w:r>
    </w:p>
    <w:p w:rsidR="008F7BB4" w:rsidRPr="000E5233" w:rsidRDefault="008F7BB4" w:rsidP="000E5233">
      <w:pPr>
        <w:pStyle w:val="ListParagraph"/>
        <w:numPr>
          <w:ilvl w:val="0"/>
          <w:numId w:val="6"/>
        </w:numPr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0E5233">
        <w:rPr>
          <w:rFonts w:asciiTheme="minorHAnsi" w:hAnsiTheme="minorHAnsi"/>
          <w:sz w:val="22"/>
          <w:szCs w:val="22"/>
          <w:lang w:val="hu-HU"/>
        </w:rPr>
        <w:t>a célcsoport nagysága,</w:t>
      </w:r>
      <w:r w:rsidR="006932CE" w:rsidRPr="000E5233">
        <w:rPr>
          <w:rFonts w:asciiTheme="minorHAnsi" w:hAnsiTheme="minorHAnsi"/>
          <w:sz w:val="22"/>
          <w:szCs w:val="22"/>
          <w:lang w:val="hu-HU"/>
        </w:rPr>
        <w:t xml:space="preserve"> amelynek az intézmény on-line bemutatóját szánják,</w:t>
      </w:r>
    </w:p>
    <w:p w:rsidR="008F7BB4" w:rsidRPr="000E5233" w:rsidRDefault="008F7BB4" w:rsidP="000E5233">
      <w:pPr>
        <w:pStyle w:val="ListParagraph"/>
        <w:numPr>
          <w:ilvl w:val="0"/>
          <w:numId w:val="6"/>
        </w:numPr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0E5233">
        <w:rPr>
          <w:rFonts w:asciiTheme="minorHAnsi" w:hAnsiTheme="minorHAnsi"/>
          <w:sz w:val="22"/>
          <w:szCs w:val="22"/>
          <w:lang w:val="hu-HU"/>
        </w:rPr>
        <w:t>a projekt szeri</w:t>
      </w:r>
      <w:r w:rsidR="006932CE" w:rsidRPr="000E5233">
        <w:rPr>
          <w:rFonts w:asciiTheme="minorHAnsi" w:hAnsiTheme="minorHAnsi"/>
          <w:sz w:val="22"/>
          <w:szCs w:val="22"/>
          <w:lang w:val="hu-HU"/>
        </w:rPr>
        <w:t xml:space="preserve">nti célcsoport bevonásának foka </w:t>
      </w:r>
      <w:r w:rsidR="00A8131A" w:rsidRPr="000E5233">
        <w:rPr>
          <w:rFonts w:asciiTheme="minorHAnsi" w:hAnsiTheme="minorHAnsi"/>
          <w:sz w:val="22"/>
          <w:szCs w:val="22"/>
          <w:lang w:val="hu-HU"/>
        </w:rPr>
        <w:t>az on-line bemutatóba</w:t>
      </w:r>
      <w:r w:rsidR="00584FED" w:rsidRPr="000E5233">
        <w:rPr>
          <w:rFonts w:asciiTheme="minorHAnsi" w:hAnsiTheme="minorHAnsi"/>
          <w:sz w:val="22"/>
          <w:szCs w:val="22"/>
          <w:lang w:val="hu-HU"/>
        </w:rPr>
        <w:t>n</w:t>
      </w:r>
      <w:r w:rsidR="00A8131A" w:rsidRPr="000E5233">
        <w:rPr>
          <w:rFonts w:asciiTheme="minorHAnsi" w:hAnsiTheme="minorHAnsi"/>
          <w:sz w:val="22"/>
          <w:szCs w:val="22"/>
          <w:lang w:val="hu-HU"/>
        </w:rPr>
        <w:t>,</w:t>
      </w:r>
    </w:p>
    <w:p w:rsidR="008F7BB4" w:rsidRPr="000E5233" w:rsidRDefault="008F7BB4" w:rsidP="000E5233">
      <w:pPr>
        <w:pStyle w:val="ListParagraph"/>
        <w:numPr>
          <w:ilvl w:val="0"/>
          <w:numId w:val="6"/>
        </w:numPr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0E5233">
        <w:rPr>
          <w:rFonts w:asciiTheme="minorHAnsi" w:hAnsiTheme="minorHAnsi"/>
          <w:sz w:val="22"/>
          <w:szCs w:val="22"/>
          <w:lang w:val="hu-HU"/>
        </w:rPr>
        <w:t>a partnerszerve</w:t>
      </w:r>
      <w:r w:rsidR="00A8131A" w:rsidRPr="000E5233">
        <w:rPr>
          <w:rFonts w:asciiTheme="minorHAnsi" w:hAnsiTheme="minorHAnsi"/>
          <w:sz w:val="22"/>
          <w:szCs w:val="22"/>
          <w:lang w:val="hu-HU"/>
        </w:rPr>
        <w:t>zeteknek a projekt megvalósításába</w:t>
      </w:r>
      <w:r w:rsidRPr="000E5233">
        <w:rPr>
          <w:rFonts w:asciiTheme="minorHAnsi" w:hAnsiTheme="minorHAnsi"/>
          <w:sz w:val="22"/>
          <w:szCs w:val="22"/>
          <w:lang w:val="hu-HU"/>
        </w:rPr>
        <w:t xml:space="preserve"> való bevontsága. </w:t>
      </w:r>
    </w:p>
    <w:p w:rsidR="008F7BB4" w:rsidRPr="000E5233" w:rsidRDefault="008F7BB4" w:rsidP="008F7BB4">
      <w:pPr>
        <w:ind w:right="180"/>
        <w:jc w:val="both"/>
        <w:rPr>
          <w:lang w:val="hu-HU"/>
        </w:rPr>
      </w:pPr>
    </w:p>
    <w:p w:rsidR="008F7BB4" w:rsidRPr="000E5233" w:rsidRDefault="008F7BB4" w:rsidP="00A8131A">
      <w:pPr>
        <w:ind w:right="180" w:firstLine="720"/>
        <w:jc w:val="both"/>
        <w:rPr>
          <w:lang w:val="hu-HU"/>
        </w:rPr>
      </w:pPr>
      <w:r w:rsidRPr="000E5233">
        <w:rPr>
          <w:lang w:val="hu-HU"/>
        </w:rPr>
        <w:t>A Titkárság fenntartja a jogát, hogy a kérelmezőtől, szükség szerint, hiánypótlást vagy további információkat kérjen.</w:t>
      </w:r>
    </w:p>
    <w:p w:rsidR="008F7BB4" w:rsidRPr="000E5233" w:rsidRDefault="008F7BB4" w:rsidP="00A8131A">
      <w:pPr>
        <w:ind w:right="180" w:firstLine="720"/>
        <w:jc w:val="both"/>
        <w:rPr>
          <w:lang w:val="hu-HU"/>
        </w:rPr>
      </w:pPr>
      <w:r w:rsidRPr="000E5233">
        <w:rPr>
          <w:lang w:val="hu-HU"/>
        </w:rPr>
        <w:t>Ha a kérelmet olyan személy írja alá, aki erre felhatalmazást kapott, az aláíráshoz feltétlenül csatolni kell a szabályos felhatalmazást.</w:t>
      </w:r>
    </w:p>
    <w:p w:rsidR="008F7BB4" w:rsidRPr="000E5233" w:rsidRDefault="008F7BB4" w:rsidP="00A8131A">
      <w:pPr>
        <w:ind w:right="180" w:firstLine="720"/>
        <w:jc w:val="both"/>
        <w:rPr>
          <w:lang w:val="hu-HU"/>
        </w:rPr>
      </w:pPr>
      <w:r w:rsidRPr="000E5233">
        <w:rPr>
          <w:lang w:val="hu-HU"/>
        </w:rPr>
        <w:t xml:space="preserve">A pályázati kérelmeket írásban, a Titkárság honlapján megjelentetett egységes formanyomtatványon kell benyújtani. </w:t>
      </w:r>
    </w:p>
    <w:p w:rsidR="008F7BB4" w:rsidRPr="000E5233" w:rsidRDefault="00A8131A" w:rsidP="00A8131A">
      <w:pPr>
        <w:ind w:right="180"/>
        <w:jc w:val="both"/>
        <w:rPr>
          <w:b/>
          <w:lang w:val="hu-HU"/>
        </w:rPr>
      </w:pPr>
      <w:r w:rsidRPr="000E5233">
        <w:rPr>
          <w:b/>
          <w:lang w:val="hu-HU"/>
        </w:rPr>
        <w:t>Egy jogi személy egy kérelmet nyújthat be.</w:t>
      </w:r>
    </w:p>
    <w:p w:rsidR="00A8131A" w:rsidRPr="000E5233" w:rsidRDefault="00A8131A" w:rsidP="00A8131A">
      <w:pPr>
        <w:ind w:right="180"/>
        <w:jc w:val="both"/>
        <w:rPr>
          <w:lang w:val="hu-HU"/>
        </w:rPr>
      </w:pPr>
      <w:r w:rsidRPr="000E5233">
        <w:rPr>
          <w:lang w:val="hu-HU"/>
        </w:rPr>
        <w:t xml:space="preserve">A pályázati eredményeket a Titkárság weboldalán teszik közzé. </w:t>
      </w:r>
    </w:p>
    <w:p w:rsidR="00A8131A" w:rsidRPr="000E5233" w:rsidRDefault="00A8131A" w:rsidP="00A8131A">
      <w:pPr>
        <w:ind w:right="180"/>
        <w:jc w:val="both"/>
        <w:rPr>
          <w:b/>
          <w:u w:val="single"/>
          <w:lang w:val="hu-HU"/>
        </w:rPr>
      </w:pPr>
      <w:r w:rsidRPr="000E5233">
        <w:rPr>
          <w:b/>
          <w:u w:val="single"/>
          <w:lang w:val="hu-HU"/>
        </w:rPr>
        <w:t>A pályázatra való jelentkezés határideje 2021. március 4-e.</w:t>
      </w:r>
    </w:p>
    <w:p w:rsidR="00A8131A" w:rsidRPr="00A8131A" w:rsidRDefault="00A8131A" w:rsidP="00A8131A">
      <w:pPr>
        <w:spacing w:after="0" w:line="240" w:lineRule="auto"/>
        <w:ind w:left="-180" w:right="180" w:firstLine="900"/>
        <w:jc w:val="both"/>
        <w:rPr>
          <w:rFonts w:eastAsia="Times New Roman" w:cs="Times New Roman"/>
          <w:lang w:val="hu-HU"/>
        </w:rPr>
      </w:pPr>
      <w:r w:rsidRPr="00A8131A">
        <w:rPr>
          <w:rFonts w:eastAsia="Times New Roman" w:cs="Times New Roman"/>
          <w:lang w:val="hu-HU"/>
        </w:rPr>
        <w:t>A kérelmeket a szükséges csatolt dokumentumokkal az alábbi címre kell elküldeni:</w:t>
      </w:r>
    </w:p>
    <w:p w:rsidR="00A8131A" w:rsidRPr="00A8131A" w:rsidRDefault="00A8131A" w:rsidP="00A8131A">
      <w:pPr>
        <w:spacing w:after="0" w:line="240" w:lineRule="auto"/>
        <w:ind w:left="-180" w:right="180" w:firstLine="900"/>
        <w:jc w:val="center"/>
        <w:rPr>
          <w:rFonts w:eastAsia="Times New Roman" w:cs="Times New Roman"/>
          <w:lang w:val="hu-HU"/>
        </w:rPr>
      </w:pPr>
      <w:r w:rsidRPr="00A8131A">
        <w:rPr>
          <w:rFonts w:eastAsia="Times New Roman" w:cs="Times New Roman"/>
          <w:lang w:val="hu-HU"/>
        </w:rPr>
        <w:t>Tartományi Oktatási, Jogalkotási, Közigazgatási és Nemzeti Kisebbségi – Nemzeti Közösségi Titkárság</w:t>
      </w:r>
    </w:p>
    <w:p w:rsidR="00A8131A" w:rsidRPr="00A8131A" w:rsidRDefault="00A8131A" w:rsidP="00A8131A">
      <w:pPr>
        <w:spacing w:after="0" w:line="240" w:lineRule="auto"/>
        <w:ind w:left="-180" w:right="180" w:firstLine="900"/>
        <w:jc w:val="center"/>
        <w:rPr>
          <w:rFonts w:eastAsia="Times New Roman" w:cs="Times New Roman"/>
          <w:lang w:val="hu-HU"/>
        </w:rPr>
      </w:pPr>
      <w:r w:rsidRPr="000E5233">
        <w:rPr>
          <w:rFonts w:eastAsia="Times New Roman" w:cs="Times New Roman"/>
          <w:lang w:val="hu-HU"/>
        </w:rPr>
        <w:t>„Pályázat az újvidéki Útmutatók – EXPOONLINE Oktatási Kiállításon való részvételi költségekre</w:t>
      </w:r>
      <w:r w:rsidRPr="00A8131A">
        <w:rPr>
          <w:rFonts w:eastAsia="Times New Roman" w:cs="Times New Roman"/>
          <w:lang w:val="hu-HU"/>
        </w:rPr>
        <w:t>”</w:t>
      </w:r>
    </w:p>
    <w:p w:rsidR="00A8131A" w:rsidRPr="00A8131A" w:rsidRDefault="00A8131A" w:rsidP="00A8131A">
      <w:pPr>
        <w:spacing w:after="0" w:line="240" w:lineRule="auto"/>
        <w:ind w:left="-180" w:right="180" w:firstLine="900"/>
        <w:jc w:val="center"/>
        <w:rPr>
          <w:rFonts w:eastAsia="Times New Roman" w:cs="Times New Roman"/>
          <w:lang w:val="hu-HU"/>
        </w:rPr>
      </w:pPr>
      <w:r w:rsidRPr="00A8131A">
        <w:rPr>
          <w:rFonts w:eastAsia="Times New Roman" w:cs="Times New Roman"/>
          <w:lang w:val="hu-HU"/>
        </w:rPr>
        <w:t>Mihajlo Pupin sgt. 16.</w:t>
      </w:r>
    </w:p>
    <w:p w:rsidR="00A8131A" w:rsidRPr="00A8131A" w:rsidRDefault="00A8131A" w:rsidP="00A8131A">
      <w:pPr>
        <w:spacing w:after="0" w:line="240" w:lineRule="auto"/>
        <w:ind w:left="-180" w:right="180" w:firstLine="900"/>
        <w:jc w:val="center"/>
        <w:rPr>
          <w:rFonts w:eastAsia="Times New Roman" w:cs="Times New Roman"/>
          <w:lang w:val="hu-HU"/>
        </w:rPr>
      </w:pPr>
      <w:r w:rsidRPr="00A8131A">
        <w:rPr>
          <w:rFonts w:eastAsia="Times New Roman" w:cs="Times New Roman"/>
          <w:lang w:val="hu-HU"/>
        </w:rPr>
        <w:t>21000 Újvidék</w:t>
      </w:r>
    </w:p>
    <w:p w:rsidR="00A8131A" w:rsidRPr="00A8131A" w:rsidRDefault="00A8131A" w:rsidP="00A8131A">
      <w:pPr>
        <w:spacing w:after="0" w:line="240" w:lineRule="auto"/>
        <w:ind w:left="-180" w:right="180" w:firstLine="900"/>
        <w:jc w:val="center"/>
        <w:outlineLvl w:val="0"/>
        <w:rPr>
          <w:rFonts w:eastAsia="Times New Roman" w:cs="Times New Roman"/>
          <w:lang w:val="hu-HU"/>
        </w:rPr>
      </w:pPr>
      <w:r w:rsidRPr="00A8131A">
        <w:rPr>
          <w:rFonts w:eastAsia="Times New Roman" w:cs="Times New Roman"/>
          <w:lang w:val="hu-HU"/>
        </w:rPr>
        <w:t>(Pokrajinski sekretarijat za obrazovanje, propise, upravu</w:t>
      </w:r>
    </w:p>
    <w:p w:rsidR="00A8131A" w:rsidRPr="00A8131A" w:rsidRDefault="00A8131A" w:rsidP="00A8131A">
      <w:pPr>
        <w:spacing w:after="0" w:line="240" w:lineRule="auto"/>
        <w:ind w:left="-180" w:right="180" w:firstLine="900"/>
        <w:jc w:val="center"/>
        <w:outlineLvl w:val="0"/>
        <w:rPr>
          <w:rFonts w:eastAsia="Times New Roman" w:cs="Times New Roman"/>
          <w:lang w:val="hu-HU"/>
        </w:rPr>
      </w:pPr>
      <w:r w:rsidRPr="00A8131A">
        <w:rPr>
          <w:rFonts w:eastAsia="Times New Roman" w:cs="Times New Roman"/>
          <w:lang w:val="hu-HU"/>
        </w:rPr>
        <w:t>i nacionalne  manjine-nacionale zajednice.</w:t>
      </w:r>
    </w:p>
    <w:p w:rsidR="00A8131A" w:rsidRPr="00A8131A" w:rsidRDefault="00A8131A" w:rsidP="00A8131A">
      <w:pPr>
        <w:spacing w:after="0" w:line="240" w:lineRule="auto"/>
        <w:ind w:left="-180" w:right="180" w:firstLine="900"/>
        <w:jc w:val="center"/>
        <w:rPr>
          <w:rFonts w:eastAsia="Times New Roman" w:cs="Times New Roman"/>
          <w:lang w:val="hu-HU"/>
        </w:rPr>
      </w:pPr>
      <w:r w:rsidRPr="00A8131A">
        <w:rPr>
          <w:rFonts w:eastAsia="Times New Roman" w:cs="Times New Roman"/>
          <w:lang w:val="hu-HU"/>
        </w:rPr>
        <w:t>„Konkur</w:t>
      </w:r>
      <w:r w:rsidRPr="000E5233">
        <w:rPr>
          <w:rFonts w:eastAsia="Times New Roman" w:cs="Times New Roman"/>
          <w:lang w:val="hu-HU"/>
        </w:rPr>
        <w:t>s za troškove učestvovanja na EXPOONLINE sajmu obrazovanja „Putokazi“ u Novom Sadu za 2021. godinu</w:t>
      </w:r>
      <w:r w:rsidRPr="00A8131A">
        <w:rPr>
          <w:rFonts w:eastAsia="Times New Roman" w:cs="Times New Roman"/>
          <w:lang w:val="hu-HU"/>
        </w:rPr>
        <w:t>“</w:t>
      </w:r>
    </w:p>
    <w:p w:rsidR="00A8131A" w:rsidRPr="00A8131A" w:rsidRDefault="00A8131A" w:rsidP="00A8131A">
      <w:pPr>
        <w:spacing w:after="0" w:line="240" w:lineRule="auto"/>
        <w:ind w:left="-180" w:right="180" w:firstLine="900"/>
        <w:jc w:val="center"/>
        <w:rPr>
          <w:rFonts w:eastAsia="Times New Roman" w:cs="Times New Roman"/>
          <w:lang w:val="hu-HU"/>
        </w:rPr>
      </w:pPr>
      <w:r w:rsidRPr="00A8131A">
        <w:rPr>
          <w:rFonts w:eastAsia="Times New Roman" w:cs="Times New Roman"/>
          <w:lang w:val="hu-HU"/>
        </w:rPr>
        <w:t>Bulevar Mihajla Pupina 16</w:t>
      </w:r>
    </w:p>
    <w:p w:rsidR="00A8131A" w:rsidRPr="000E5233" w:rsidRDefault="00A8131A" w:rsidP="00A8131A">
      <w:pPr>
        <w:spacing w:after="0" w:line="240" w:lineRule="auto"/>
        <w:ind w:left="-180" w:right="180" w:firstLine="900"/>
        <w:jc w:val="center"/>
        <w:rPr>
          <w:rFonts w:eastAsia="Times New Roman" w:cs="Times New Roman"/>
          <w:lang w:val="hu-HU"/>
        </w:rPr>
      </w:pPr>
      <w:r w:rsidRPr="00A8131A">
        <w:rPr>
          <w:rFonts w:eastAsia="Times New Roman" w:cs="Times New Roman"/>
          <w:lang w:val="hu-HU"/>
        </w:rPr>
        <w:t>21000 Novi Sad)</w:t>
      </w:r>
    </w:p>
    <w:p w:rsidR="007E60B4" w:rsidRPr="00085F92" w:rsidRDefault="007E60B4" w:rsidP="00085F92">
      <w:pPr>
        <w:spacing w:after="0" w:line="240" w:lineRule="auto"/>
        <w:ind w:right="180"/>
        <w:jc w:val="both"/>
        <w:rPr>
          <w:rFonts w:eastAsia="Times New Roman" w:cs="Times New Roman"/>
          <w:lang w:val="hu-HU"/>
        </w:rPr>
      </w:pPr>
      <w:r w:rsidRPr="00085F92">
        <w:rPr>
          <w:rFonts w:eastAsia="Times New Roman" w:cs="Times New Roman"/>
          <w:lang w:val="hu-HU"/>
        </w:rPr>
        <w:t>A Bizottság nem vitatja meg:</w:t>
      </w:r>
    </w:p>
    <w:p w:rsidR="007E60B4" w:rsidRPr="00085F92" w:rsidRDefault="007E60B4" w:rsidP="00085F92">
      <w:pPr>
        <w:numPr>
          <w:ilvl w:val="0"/>
          <w:numId w:val="1"/>
        </w:numPr>
        <w:spacing w:after="0" w:line="240" w:lineRule="auto"/>
        <w:ind w:right="180"/>
        <w:jc w:val="both"/>
        <w:rPr>
          <w:rFonts w:eastAsia="Times New Roman" w:cs="Times New Roman"/>
          <w:lang w:val="hu-HU"/>
        </w:rPr>
      </w:pPr>
      <w:r w:rsidRPr="00085F92">
        <w:rPr>
          <w:rFonts w:eastAsia="Times New Roman" w:cs="Times New Roman"/>
          <w:lang w:val="hu-HU"/>
        </w:rPr>
        <w:t>a hiányos,</w:t>
      </w:r>
    </w:p>
    <w:p w:rsidR="007E60B4" w:rsidRPr="00085F92" w:rsidRDefault="007E60B4" w:rsidP="00085F92">
      <w:pPr>
        <w:numPr>
          <w:ilvl w:val="0"/>
          <w:numId w:val="1"/>
        </w:numPr>
        <w:spacing w:after="0" w:line="240" w:lineRule="auto"/>
        <w:ind w:right="180"/>
        <w:jc w:val="both"/>
        <w:rPr>
          <w:rFonts w:eastAsia="Times New Roman" w:cs="Times New Roman"/>
          <w:lang w:val="hu-HU"/>
        </w:rPr>
      </w:pPr>
      <w:r w:rsidRPr="00085F92">
        <w:rPr>
          <w:rFonts w:eastAsia="Times New Roman" w:cs="Times New Roman"/>
          <w:lang w:val="hu-HU"/>
        </w:rPr>
        <w:t>késve érkező,</w:t>
      </w:r>
    </w:p>
    <w:p w:rsidR="007E60B4" w:rsidRPr="00085F92" w:rsidRDefault="007E60B4" w:rsidP="00085F92">
      <w:pPr>
        <w:numPr>
          <w:ilvl w:val="0"/>
          <w:numId w:val="1"/>
        </w:numPr>
        <w:spacing w:after="0" w:line="240" w:lineRule="auto"/>
        <w:ind w:right="180"/>
        <w:jc w:val="both"/>
        <w:rPr>
          <w:rFonts w:eastAsia="Times New Roman" w:cs="Times New Roman"/>
          <w:lang w:val="hu-HU"/>
        </w:rPr>
      </w:pPr>
      <w:r w:rsidRPr="00085F92">
        <w:rPr>
          <w:rFonts w:eastAsia="Times New Roman" w:cs="Times New Roman"/>
          <w:lang w:val="hu-HU"/>
        </w:rPr>
        <w:lastRenderedPageBreak/>
        <w:t xml:space="preserve">szabálytalan (a jogosulatlan és a pályázat tárgyától eltérő alanyok által benyújtott) kérelmeket, </w:t>
      </w:r>
    </w:p>
    <w:p w:rsidR="007E60B4" w:rsidRPr="00085F92" w:rsidRDefault="007E60B4" w:rsidP="00085F92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="Times New Roman"/>
          <w:lang w:val="hu-HU"/>
        </w:rPr>
      </w:pPr>
      <w:r w:rsidRPr="00085F92">
        <w:rPr>
          <w:rFonts w:eastAsia="Times New Roman" w:cs="Times New Roman"/>
          <w:lang w:val="hu-HU"/>
        </w:rPr>
        <w:t>a pályázat tervezett rendeltetésétől eltérő kérelmeket,</w:t>
      </w:r>
    </w:p>
    <w:p w:rsidR="007E60B4" w:rsidRPr="00085F92" w:rsidRDefault="007E60B4" w:rsidP="00085F92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="Times New Roman"/>
          <w:lang w:val="hu-HU"/>
        </w:rPr>
      </w:pPr>
      <w:r w:rsidRPr="00085F92">
        <w:rPr>
          <w:rFonts w:eastAsia="Times New Roman" w:cs="Times New Roman"/>
          <w:lang w:val="hu-HU"/>
        </w:rPr>
        <w:t>azoknak az igénybe vevőknek a kérelmeit, akik az előző időszakban számukra odaítélt eszközöket nem támasztották alá pénzügyi és narratív jelentésekkel.</w:t>
      </w:r>
    </w:p>
    <w:p w:rsidR="007E60B4" w:rsidRPr="00085F92" w:rsidRDefault="007E60B4" w:rsidP="00085F92">
      <w:pPr>
        <w:spacing w:after="0" w:line="240" w:lineRule="auto"/>
        <w:ind w:right="180"/>
        <w:jc w:val="both"/>
        <w:rPr>
          <w:rFonts w:eastAsia="Times New Roman" w:cs="Times New Roman"/>
          <w:lang w:val="hu-HU"/>
        </w:rPr>
      </w:pPr>
      <w:r w:rsidRPr="00085F92">
        <w:rPr>
          <w:rFonts w:eastAsia="Times New Roman" w:cs="Times New Roman"/>
          <w:lang w:val="hu-HU"/>
        </w:rPr>
        <w:tab/>
        <w:t xml:space="preserve">Az eszközök odaítélése iránti kérelem formanyomtatványa a Tartományi Oktatási, Jogalkotási, Közigazgatási és Nemzeti Közösségi – Nemzeti Kisebbségi Titkárság </w:t>
      </w:r>
      <w:hyperlink r:id="rId6" w:history="1">
        <w:r w:rsidRPr="00085F92">
          <w:rPr>
            <w:rStyle w:val="Hyperlink"/>
            <w:rFonts w:eastAsia="Times New Roman" w:cs="Times New Roman"/>
            <w:b/>
            <w:lang w:val="hu-HU"/>
          </w:rPr>
          <w:t>www.puma.vojvodina.gov.rs</w:t>
        </w:r>
      </w:hyperlink>
      <w:r w:rsidRPr="00085F92">
        <w:rPr>
          <w:rFonts w:eastAsia="Times New Roman" w:cs="Times New Roman"/>
          <w:lang w:val="hu-HU"/>
        </w:rPr>
        <w:t xml:space="preserve"> hivatalos honlapjáról </w:t>
      </w:r>
      <w:r w:rsidR="00C46BE9">
        <w:rPr>
          <w:color w:val="000000"/>
          <w:sz w:val="20"/>
          <w:szCs w:val="20"/>
          <w:lang w:val="hu-HU"/>
        </w:rPr>
        <w:t xml:space="preserve"> </w:t>
      </w:r>
      <w:r w:rsidR="00C46BE9" w:rsidRPr="00C46BE9">
        <w:rPr>
          <w:b/>
          <w:u w:val="single"/>
          <w:lang w:val="hu-HU"/>
        </w:rPr>
        <w:t>2021. február 24</w:t>
      </w:r>
      <w:r w:rsidR="00C46BE9">
        <w:rPr>
          <w:b/>
          <w:u w:val="single"/>
          <w:lang w:val="hu-HU"/>
        </w:rPr>
        <w:t>-e</w:t>
      </w:r>
      <w:bookmarkStart w:id="0" w:name="_GoBack"/>
      <w:bookmarkEnd w:id="0"/>
      <w:r w:rsidR="00C46BE9">
        <w:rPr>
          <w:color w:val="000000"/>
          <w:sz w:val="20"/>
          <w:szCs w:val="20"/>
          <w:lang w:val="hu-HU"/>
        </w:rPr>
        <w:t xml:space="preserve">  </w:t>
      </w:r>
      <w:r w:rsidRPr="00085F92">
        <w:rPr>
          <w:rFonts w:eastAsia="Times New Roman" w:cs="Times New Roman"/>
          <w:lang w:val="hu-HU"/>
        </w:rPr>
        <w:t xml:space="preserve">letölthető. </w:t>
      </w:r>
    </w:p>
    <w:p w:rsidR="00E0177E" w:rsidRPr="00085F92" w:rsidRDefault="00E0177E" w:rsidP="007E60B4">
      <w:pPr>
        <w:spacing w:after="0" w:line="240" w:lineRule="auto"/>
        <w:ind w:right="180"/>
        <w:rPr>
          <w:rFonts w:eastAsia="Times New Roman" w:cs="Times New Roman"/>
          <w:lang w:val="hu-HU"/>
        </w:rPr>
      </w:pPr>
    </w:p>
    <w:p w:rsidR="007E60B4" w:rsidRPr="00085F92" w:rsidRDefault="007E60B4" w:rsidP="00085F92">
      <w:pPr>
        <w:spacing w:after="0" w:line="240" w:lineRule="auto"/>
        <w:ind w:right="180"/>
        <w:jc w:val="both"/>
        <w:rPr>
          <w:rFonts w:eastAsia="Times New Roman" w:cs="Times New Roman"/>
          <w:lang w:val="hu-HU"/>
        </w:rPr>
      </w:pPr>
      <w:r w:rsidRPr="00085F92">
        <w:rPr>
          <w:rFonts w:eastAsia="Times New Roman" w:cs="Times New Roman"/>
          <w:lang w:val="hu-HU"/>
        </w:rPr>
        <w:tab/>
        <w:t>A pályázattal kapcsolatos tájékoztatás a 021/</w:t>
      </w:r>
      <w:r w:rsidR="00E0177E" w:rsidRPr="00085F92">
        <w:rPr>
          <w:rFonts w:eastAsia="Times New Roman" w:cs="Times New Roman"/>
          <w:lang w:val="hu-HU"/>
        </w:rPr>
        <w:t>487 48 67, 487 42 41</w:t>
      </w:r>
      <w:r w:rsidRPr="00085F92">
        <w:rPr>
          <w:rFonts w:eastAsia="Times New Roman" w:cs="Times New Roman"/>
          <w:lang w:val="hu-HU"/>
        </w:rPr>
        <w:t xml:space="preserve">-es telefonszámokon kapható. </w:t>
      </w:r>
    </w:p>
    <w:p w:rsidR="007E60B4" w:rsidRPr="00A8131A" w:rsidRDefault="007E60B4" w:rsidP="00085F92">
      <w:pPr>
        <w:spacing w:after="0" w:line="240" w:lineRule="auto"/>
        <w:ind w:right="180"/>
        <w:jc w:val="both"/>
        <w:rPr>
          <w:rFonts w:eastAsia="Times New Roman" w:cs="Times New Roman"/>
          <w:sz w:val="24"/>
          <w:szCs w:val="24"/>
          <w:lang w:val="hu-HU"/>
        </w:rPr>
      </w:pPr>
    </w:p>
    <w:p w:rsidR="00A8131A" w:rsidRPr="000E5233" w:rsidRDefault="00A8131A" w:rsidP="00A8131A">
      <w:pPr>
        <w:ind w:right="180"/>
        <w:jc w:val="center"/>
        <w:rPr>
          <w:lang w:val="hu-HU"/>
        </w:rPr>
      </w:pPr>
    </w:p>
    <w:p w:rsidR="00A95E99" w:rsidRPr="000E5233" w:rsidRDefault="00A95E99" w:rsidP="00A95E99">
      <w:pPr>
        <w:jc w:val="both"/>
        <w:rPr>
          <w:rFonts w:cs="Calibri"/>
          <w:lang w:val="hu-HU"/>
        </w:rPr>
      </w:pP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</w:p>
    <w:p w:rsidR="00A95E99" w:rsidRPr="000E5233" w:rsidRDefault="00A95E99" w:rsidP="00A95E99">
      <w:pPr>
        <w:ind w:right="180"/>
        <w:jc w:val="both"/>
        <w:outlineLvl w:val="0"/>
        <w:rPr>
          <w:rFonts w:cs="Calibri"/>
          <w:lang w:val="hu-HU"/>
        </w:rPr>
      </w:pPr>
    </w:p>
    <w:p w:rsidR="00A95E99" w:rsidRPr="000E5233" w:rsidRDefault="00A95E99" w:rsidP="009550C4">
      <w:pPr>
        <w:tabs>
          <w:tab w:val="center" w:pos="7200"/>
        </w:tabs>
        <w:spacing w:after="0"/>
        <w:jc w:val="both"/>
        <w:rPr>
          <w:rFonts w:cs="Calibri"/>
          <w:lang w:val="hu-HU"/>
        </w:rPr>
      </w:pPr>
      <w:r w:rsidRPr="000E5233">
        <w:rPr>
          <w:rFonts w:cs="Calibri"/>
          <w:lang w:val="hu-HU"/>
        </w:rPr>
        <w:t xml:space="preserve">                                                                                                      </w:t>
      </w:r>
      <w:r w:rsidRPr="000E5233">
        <w:rPr>
          <w:rFonts w:cs="Calibri"/>
          <w:lang w:val="hu-HU"/>
        </w:rPr>
        <w:tab/>
        <w:t xml:space="preserve">    </w:t>
      </w:r>
      <w:r w:rsidR="00E0177E" w:rsidRPr="000E5233">
        <w:rPr>
          <w:rFonts w:cs="Calibri"/>
          <w:lang w:val="hu-HU"/>
        </w:rPr>
        <w:t>Szakállas Zsolt</w:t>
      </w:r>
    </w:p>
    <w:p w:rsidR="00A95E99" w:rsidRPr="000E5233" w:rsidRDefault="00A95E99" w:rsidP="009550C4">
      <w:pPr>
        <w:spacing w:after="0"/>
        <w:ind w:right="180"/>
        <w:jc w:val="center"/>
        <w:rPr>
          <w:rFonts w:cs="Calibri"/>
          <w:lang w:val="hu-HU"/>
        </w:rPr>
      </w:pP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  <w:t xml:space="preserve">      TARTOMÁNYI TITKÁR</w:t>
      </w:r>
    </w:p>
    <w:p w:rsidR="00A95E99" w:rsidRPr="000E5233" w:rsidRDefault="00A95E99" w:rsidP="00A95E99">
      <w:pPr>
        <w:ind w:right="180"/>
        <w:jc w:val="both"/>
        <w:rPr>
          <w:rFonts w:cs="Calibri"/>
          <w:color w:val="000000"/>
          <w:lang w:val="hu-HU"/>
        </w:rPr>
      </w:pPr>
      <w:r w:rsidRPr="000E5233">
        <w:rPr>
          <w:rFonts w:cs="Calibri"/>
          <w:lang w:val="hu-HU"/>
        </w:rPr>
        <w:t xml:space="preserve">                                                                                                          </w:t>
      </w:r>
    </w:p>
    <w:p w:rsidR="00A95E99" w:rsidRPr="000E5233" w:rsidRDefault="00A95E99" w:rsidP="00A95E99">
      <w:pPr>
        <w:ind w:right="180"/>
        <w:jc w:val="both"/>
        <w:outlineLvl w:val="0"/>
        <w:rPr>
          <w:rFonts w:cs="Calibri"/>
          <w:lang w:val="hu-HU"/>
        </w:rPr>
      </w:pP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</w:r>
      <w:r w:rsidRPr="000E5233">
        <w:rPr>
          <w:rFonts w:cs="Calibri"/>
          <w:lang w:val="hu-HU"/>
        </w:rPr>
        <w:tab/>
        <w:t xml:space="preserve">                                       </w:t>
      </w:r>
    </w:p>
    <w:p w:rsidR="00A95E99" w:rsidRPr="000E5233" w:rsidRDefault="00A95E99" w:rsidP="00A95E99">
      <w:pPr>
        <w:rPr>
          <w:rFonts w:cs="Calibri"/>
          <w:lang w:val="hu-HU"/>
        </w:rPr>
      </w:pPr>
    </w:p>
    <w:p w:rsidR="00944B2B" w:rsidRPr="000E5233" w:rsidRDefault="00944B2B">
      <w:pPr>
        <w:rPr>
          <w:rFonts w:cs="Calibri"/>
          <w:lang w:val="hu-HU"/>
        </w:rPr>
      </w:pPr>
    </w:p>
    <w:sectPr w:rsidR="00944B2B" w:rsidRPr="000E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3858"/>
    <w:multiLevelType w:val="hybridMultilevel"/>
    <w:tmpl w:val="B46AE004"/>
    <w:lvl w:ilvl="0" w:tplc="241A000F">
      <w:start w:val="1"/>
      <w:numFmt w:val="decimal"/>
      <w:lvlText w:val="%1."/>
      <w:lvlJc w:val="left"/>
      <w:pPr>
        <w:ind w:left="1545" w:hanging="360"/>
      </w:pPr>
    </w:lvl>
    <w:lvl w:ilvl="1" w:tplc="241A0019" w:tentative="1">
      <w:start w:val="1"/>
      <w:numFmt w:val="lowerLetter"/>
      <w:lvlText w:val="%2."/>
      <w:lvlJc w:val="left"/>
      <w:pPr>
        <w:ind w:left="2265" w:hanging="360"/>
      </w:pPr>
    </w:lvl>
    <w:lvl w:ilvl="2" w:tplc="241A001B" w:tentative="1">
      <w:start w:val="1"/>
      <w:numFmt w:val="lowerRoman"/>
      <w:lvlText w:val="%3."/>
      <w:lvlJc w:val="right"/>
      <w:pPr>
        <w:ind w:left="2985" w:hanging="180"/>
      </w:pPr>
    </w:lvl>
    <w:lvl w:ilvl="3" w:tplc="241A000F" w:tentative="1">
      <w:start w:val="1"/>
      <w:numFmt w:val="decimal"/>
      <w:lvlText w:val="%4."/>
      <w:lvlJc w:val="left"/>
      <w:pPr>
        <w:ind w:left="3705" w:hanging="360"/>
      </w:pPr>
    </w:lvl>
    <w:lvl w:ilvl="4" w:tplc="241A0019" w:tentative="1">
      <w:start w:val="1"/>
      <w:numFmt w:val="lowerLetter"/>
      <w:lvlText w:val="%5."/>
      <w:lvlJc w:val="left"/>
      <w:pPr>
        <w:ind w:left="4425" w:hanging="360"/>
      </w:pPr>
    </w:lvl>
    <w:lvl w:ilvl="5" w:tplc="241A001B" w:tentative="1">
      <w:start w:val="1"/>
      <w:numFmt w:val="lowerRoman"/>
      <w:lvlText w:val="%6."/>
      <w:lvlJc w:val="right"/>
      <w:pPr>
        <w:ind w:left="5145" w:hanging="180"/>
      </w:pPr>
    </w:lvl>
    <w:lvl w:ilvl="6" w:tplc="241A000F" w:tentative="1">
      <w:start w:val="1"/>
      <w:numFmt w:val="decimal"/>
      <w:lvlText w:val="%7."/>
      <w:lvlJc w:val="left"/>
      <w:pPr>
        <w:ind w:left="5865" w:hanging="360"/>
      </w:pPr>
    </w:lvl>
    <w:lvl w:ilvl="7" w:tplc="241A0019" w:tentative="1">
      <w:start w:val="1"/>
      <w:numFmt w:val="lowerLetter"/>
      <w:lvlText w:val="%8."/>
      <w:lvlJc w:val="left"/>
      <w:pPr>
        <w:ind w:left="6585" w:hanging="360"/>
      </w:pPr>
    </w:lvl>
    <w:lvl w:ilvl="8" w:tplc="2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D2622"/>
    <w:multiLevelType w:val="hybridMultilevel"/>
    <w:tmpl w:val="E730C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F44B6"/>
    <w:multiLevelType w:val="hybridMultilevel"/>
    <w:tmpl w:val="8376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414B0"/>
    <w:multiLevelType w:val="hybridMultilevel"/>
    <w:tmpl w:val="E1FAC75E"/>
    <w:lvl w:ilvl="0" w:tplc="14A0B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99"/>
    <w:rsid w:val="00085F92"/>
    <w:rsid w:val="000E5233"/>
    <w:rsid w:val="00157DBB"/>
    <w:rsid w:val="002512B6"/>
    <w:rsid w:val="004845A7"/>
    <w:rsid w:val="004B32C5"/>
    <w:rsid w:val="00566987"/>
    <w:rsid w:val="00584FED"/>
    <w:rsid w:val="006932CE"/>
    <w:rsid w:val="00756614"/>
    <w:rsid w:val="007A41E8"/>
    <w:rsid w:val="007E60B4"/>
    <w:rsid w:val="0080630A"/>
    <w:rsid w:val="008F7BB4"/>
    <w:rsid w:val="00932A0A"/>
    <w:rsid w:val="00944B2B"/>
    <w:rsid w:val="009550C4"/>
    <w:rsid w:val="00A759B5"/>
    <w:rsid w:val="00A8131A"/>
    <w:rsid w:val="00A83CA0"/>
    <w:rsid w:val="00A95E99"/>
    <w:rsid w:val="00AB5F6F"/>
    <w:rsid w:val="00C3352F"/>
    <w:rsid w:val="00C46BE9"/>
    <w:rsid w:val="00CB73C7"/>
    <w:rsid w:val="00CD4592"/>
    <w:rsid w:val="00CF6F58"/>
    <w:rsid w:val="00E0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9800-E9DE-49F5-A679-62A1EC5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3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CB7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Palfi</dc:creator>
  <cp:keywords/>
  <dc:description/>
  <cp:lastModifiedBy>Danica Lucic</cp:lastModifiedBy>
  <cp:revision>3</cp:revision>
  <dcterms:created xsi:type="dcterms:W3CDTF">2021-02-23T09:22:00Z</dcterms:created>
  <dcterms:modified xsi:type="dcterms:W3CDTF">2021-02-23T09:25:00Z</dcterms:modified>
</cp:coreProperties>
</file>