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96" w:rsidRPr="00AB1B96" w:rsidRDefault="00AB1B96" w:rsidP="00AB1B96">
      <w:pPr>
        <w:ind w:firstLine="720"/>
        <w:jc w:val="both"/>
        <w:rPr>
          <w:lang w:val="hu-HU"/>
        </w:rPr>
      </w:pPr>
      <w:r w:rsidRPr="00AB1B96">
        <w:rPr>
          <w:lang w:val="hu-HU"/>
        </w:rPr>
        <w:t xml:space="preserve">A költségvetési eszközöknek az általános iskolai és középiskolai oktatás-nevelési és a diákjóléti programtevékenységek és projektek </w:t>
      </w:r>
      <w:proofErr w:type="gramStart"/>
      <w:r w:rsidRPr="00AB1B96">
        <w:rPr>
          <w:lang w:val="hu-HU"/>
        </w:rPr>
        <w:t>finanszírozására</w:t>
      </w:r>
      <w:proofErr w:type="gramEnd"/>
      <w:r w:rsidRPr="00AB1B96">
        <w:rPr>
          <w:lang w:val="hu-HU"/>
        </w:rPr>
        <w:t xml:space="preserve"> és társfinanszírozására való odaítéléséről szóló tartományi képviselőházi rendelet (Vajdaság AT Hivatalos Lapja, 14/2015. és 10/2017. szám) 10. szakasza, A tartományi közigazgatásról szóló tartományi képviselőházi rendelet (Vajdaság AT Hivatalos Lapja, 37/2014., 54/2014. –más határozat, 37/2016., 29/2017. és 24/2019. szám) 24. szakaszának 2. bekezdése és a tartományi oktatási, jogalkotási, közigazgatási és nemzeti kisebbségi – nemzeti közösségi titkár 128- 031-241/2016-01 számú, 2018.11.28. keltezésű határozata alapján, a tartományi titkárhelyettes</w:t>
      </w:r>
    </w:p>
    <w:p w:rsidR="00AB1B96" w:rsidRPr="00AB1B96" w:rsidRDefault="00AB1B96" w:rsidP="00AB1B96">
      <w:pPr>
        <w:spacing w:after="0"/>
        <w:jc w:val="center"/>
        <w:rPr>
          <w:b/>
          <w:bCs/>
          <w:lang w:val="hu-HU"/>
        </w:rPr>
      </w:pPr>
      <w:r w:rsidRPr="00AB1B96">
        <w:rPr>
          <w:b/>
          <w:bCs/>
          <w:lang w:val="hu-HU"/>
        </w:rPr>
        <w:t>SZABÁLYZATOT</w:t>
      </w:r>
    </w:p>
    <w:p w:rsidR="00AB1B96" w:rsidRPr="00AB1B96" w:rsidRDefault="00AB1B96" w:rsidP="00AB1B96">
      <w:pPr>
        <w:spacing w:after="0"/>
        <w:jc w:val="center"/>
        <w:rPr>
          <w:b/>
          <w:bCs/>
          <w:lang w:val="hu-HU"/>
        </w:rPr>
      </w:pPr>
      <w:proofErr w:type="gramStart"/>
      <w:r w:rsidRPr="00AB1B96">
        <w:rPr>
          <w:b/>
          <w:bCs/>
          <w:lang w:val="hu-HU"/>
        </w:rPr>
        <w:t>hoz</w:t>
      </w:r>
      <w:proofErr w:type="gramEnd"/>
    </w:p>
    <w:p w:rsidR="00AB1B96" w:rsidRPr="00AB1B96" w:rsidRDefault="00AB1B96" w:rsidP="00AB1B96">
      <w:pPr>
        <w:spacing w:after="0"/>
        <w:jc w:val="center"/>
        <w:rPr>
          <w:b/>
          <w:bCs/>
          <w:lang w:val="hu-HU"/>
        </w:rPr>
      </w:pPr>
      <w:r w:rsidRPr="00AB1B96">
        <w:rPr>
          <w:b/>
          <w:bCs/>
          <w:lang w:val="hu-HU"/>
        </w:rPr>
        <w:t>A TARTOMÁNYI OKTATÁSI, JOGALKOTÁSI,</w:t>
      </w:r>
    </w:p>
    <w:p w:rsidR="00AB1B96" w:rsidRPr="00AB1B96" w:rsidRDefault="00AB1B96" w:rsidP="00AB1B96">
      <w:pPr>
        <w:spacing w:after="0"/>
        <w:jc w:val="center"/>
        <w:rPr>
          <w:b/>
          <w:bCs/>
          <w:lang w:val="hu-HU"/>
        </w:rPr>
      </w:pPr>
      <w:r w:rsidRPr="00AB1B96">
        <w:rPr>
          <w:b/>
          <w:bCs/>
          <w:lang w:val="hu-HU"/>
        </w:rPr>
        <w:t xml:space="preserve">KÖZIGAZGATÁSI </w:t>
      </w:r>
      <w:proofErr w:type="gramStart"/>
      <w:r w:rsidRPr="00AB1B96">
        <w:rPr>
          <w:b/>
          <w:bCs/>
          <w:lang w:val="hu-HU"/>
        </w:rPr>
        <w:t>ÉS</w:t>
      </w:r>
      <w:proofErr w:type="gramEnd"/>
      <w:r w:rsidRPr="00AB1B96">
        <w:rPr>
          <w:b/>
          <w:bCs/>
          <w:lang w:val="hu-HU"/>
        </w:rPr>
        <w:t xml:space="preserve"> NEMZETI KISEBBSÉGI – NEMZETI</w:t>
      </w:r>
    </w:p>
    <w:p w:rsidR="00AB1B96" w:rsidRPr="00AB1B96" w:rsidRDefault="00AB1B96" w:rsidP="00AB1B96">
      <w:pPr>
        <w:spacing w:after="0"/>
        <w:jc w:val="center"/>
        <w:rPr>
          <w:b/>
          <w:bCs/>
          <w:lang w:val="hu-HU"/>
        </w:rPr>
      </w:pPr>
      <w:r w:rsidRPr="00AB1B96">
        <w:rPr>
          <w:b/>
          <w:bCs/>
          <w:lang w:val="hu-HU"/>
        </w:rPr>
        <w:t>KÖZÖSSÉGI TITKÁRSÁG KÖLTSÉGVETÉSI ESZKÖZEINEK</w:t>
      </w:r>
    </w:p>
    <w:p w:rsidR="00AB1B96" w:rsidRPr="00AB1B96" w:rsidRDefault="00AB1B96" w:rsidP="00AB1B96">
      <w:pPr>
        <w:spacing w:after="0"/>
        <w:jc w:val="center"/>
        <w:rPr>
          <w:b/>
          <w:bCs/>
          <w:lang w:val="hu-HU"/>
        </w:rPr>
      </w:pPr>
      <w:r w:rsidRPr="00AB1B96">
        <w:rPr>
          <w:b/>
          <w:bCs/>
          <w:lang w:val="hu-HU"/>
        </w:rPr>
        <w:t xml:space="preserve">ODAÍTÉLÉSÉRŐL </w:t>
      </w:r>
      <w:proofErr w:type="gramStart"/>
      <w:r w:rsidRPr="00AB1B96">
        <w:rPr>
          <w:b/>
          <w:bCs/>
          <w:lang w:val="hu-HU"/>
        </w:rPr>
        <w:t>A</w:t>
      </w:r>
      <w:proofErr w:type="gramEnd"/>
      <w:r w:rsidRPr="00AB1B96">
        <w:rPr>
          <w:b/>
          <w:bCs/>
          <w:lang w:val="hu-HU"/>
        </w:rPr>
        <w:t xml:space="preserve"> VAJDASÁG AUTONÓM TARTOMÁNYI</w:t>
      </w:r>
    </w:p>
    <w:p w:rsidR="00AB1B96" w:rsidRPr="00AB1B96" w:rsidRDefault="00AB1B96" w:rsidP="00AB1B96">
      <w:pPr>
        <w:spacing w:after="0"/>
        <w:jc w:val="center"/>
        <w:rPr>
          <w:b/>
          <w:bCs/>
          <w:lang w:val="hu-HU"/>
        </w:rPr>
      </w:pPr>
      <w:r w:rsidRPr="00AB1B96">
        <w:rPr>
          <w:b/>
          <w:bCs/>
          <w:lang w:val="hu-HU"/>
        </w:rPr>
        <w:t xml:space="preserve">ÁLTALÁNOS </w:t>
      </w:r>
      <w:proofErr w:type="gramStart"/>
      <w:r w:rsidRPr="00AB1B96">
        <w:rPr>
          <w:b/>
          <w:bCs/>
          <w:lang w:val="hu-HU"/>
        </w:rPr>
        <w:t>ÉS</w:t>
      </w:r>
      <w:proofErr w:type="gramEnd"/>
      <w:r w:rsidRPr="00AB1B96">
        <w:rPr>
          <w:b/>
          <w:bCs/>
          <w:lang w:val="hu-HU"/>
        </w:rPr>
        <w:t xml:space="preserve"> KÖZÉPISKOLAI OKTATÁSI ÉS NEVELÉSI</w:t>
      </w:r>
    </w:p>
    <w:p w:rsidR="00AB1B96" w:rsidRPr="00AB1B96" w:rsidRDefault="00AB1B96" w:rsidP="00AB1B96">
      <w:pPr>
        <w:spacing w:after="0"/>
        <w:jc w:val="center"/>
        <w:rPr>
          <w:b/>
          <w:bCs/>
          <w:lang w:val="hu-HU"/>
        </w:rPr>
      </w:pPr>
      <w:r w:rsidRPr="00AB1B96">
        <w:rPr>
          <w:b/>
          <w:bCs/>
          <w:lang w:val="hu-HU"/>
        </w:rPr>
        <w:t xml:space="preserve">PROGRAMOK </w:t>
      </w:r>
      <w:proofErr w:type="gramStart"/>
      <w:r w:rsidRPr="00AB1B96">
        <w:rPr>
          <w:b/>
          <w:bCs/>
          <w:lang w:val="hu-HU"/>
        </w:rPr>
        <w:t>ÉS</w:t>
      </w:r>
      <w:proofErr w:type="gramEnd"/>
      <w:r w:rsidRPr="00AB1B96">
        <w:rPr>
          <w:b/>
          <w:bCs/>
          <w:lang w:val="hu-HU"/>
        </w:rPr>
        <w:t xml:space="preserve"> PROJEKTEK FINANSZÍROZÁSÁRA ÉS</w:t>
      </w:r>
    </w:p>
    <w:p w:rsidR="00AB1B96" w:rsidRPr="00AB1B96" w:rsidRDefault="00AB1B96" w:rsidP="00AB1B96">
      <w:pPr>
        <w:spacing w:after="0"/>
        <w:jc w:val="center"/>
        <w:rPr>
          <w:b/>
          <w:bCs/>
          <w:lang w:val="hu-HU"/>
        </w:rPr>
      </w:pPr>
      <w:r w:rsidRPr="00AB1B96">
        <w:rPr>
          <w:b/>
          <w:bCs/>
          <w:lang w:val="hu-HU"/>
        </w:rPr>
        <w:t>TÁRSFINANSZÍROZÁSÁRA</w:t>
      </w:r>
    </w:p>
    <w:p w:rsidR="00AB1B96" w:rsidRDefault="00AB1B96" w:rsidP="00AB1B96">
      <w:pPr>
        <w:rPr>
          <w:lang w:val="hu-HU"/>
        </w:rPr>
      </w:pPr>
    </w:p>
    <w:p w:rsidR="00AB1B96" w:rsidRPr="00AB1B96" w:rsidRDefault="00AB1B96" w:rsidP="00AB1B96">
      <w:pPr>
        <w:jc w:val="center"/>
        <w:rPr>
          <w:b/>
          <w:lang w:val="hu-HU"/>
        </w:rPr>
      </w:pPr>
      <w:r w:rsidRPr="00AB1B96">
        <w:rPr>
          <w:b/>
          <w:lang w:val="hu-HU"/>
        </w:rPr>
        <w:t>1. szakasz</w:t>
      </w:r>
    </w:p>
    <w:p w:rsidR="00AB1B96" w:rsidRPr="00AB1B96" w:rsidRDefault="00AB1B96" w:rsidP="00AB1B96">
      <w:pPr>
        <w:ind w:firstLine="720"/>
        <w:jc w:val="both"/>
        <w:rPr>
          <w:lang w:val="hu-HU"/>
        </w:rPr>
      </w:pPr>
      <w:r w:rsidRPr="00AB1B96">
        <w:rPr>
          <w:lang w:val="hu-HU"/>
        </w:rPr>
        <w:t>Jelen szabályzat rendelkezik a Vajdaság autonóm tartományi általános-</w:t>
      </w:r>
      <w:r>
        <w:rPr>
          <w:lang w:val="hu-HU"/>
        </w:rPr>
        <w:t xml:space="preserve"> </w:t>
      </w:r>
      <w:r w:rsidRPr="00AB1B96">
        <w:rPr>
          <w:lang w:val="hu-HU"/>
        </w:rPr>
        <w:t xml:space="preserve">és középiskolai oktatási és nevelési programok és projektek </w:t>
      </w:r>
      <w:proofErr w:type="gramStart"/>
      <w:r w:rsidRPr="00AB1B96">
        <w:rPr>
          <w:lang w:val="hu-HU"/>
        </w:rPr>
        <w:t>finanszírozására</w:t>
      </w:r>
      <w:proofErr w:type="gramEnd"/>
      <w:r>
        <w:rPr>
          <w:lang w:val="hu-HU"/>
        </w:rPr>
        <w:t xml:space="preserve"> </w:t>
      </w:r>
      <w:r w:rsidRPr="00AB1B96">
        <w:rPr>
          <w:lang w:val="hu-HU"/>
        </w:rPr>
        <w:t>és társfinanszírozására szánt költségvetési eszközök (a továbbiakban:</w:t>
      </w:r>
      <w:r>
        <w:rPr>
          <w:lang w:val="hu-HU"/>
        </w:rPr>
        <w:t xml:space="preserve"> </w:t>
      </w:r>
      <w:r w:rsidRPr="00AB1B96">
        <w:rPr>
          <w:lang w:val="hu-HU"/>
        </w:rPr>
        <w:t>eszközök) odaítélésének módjáról, feltételeiről, elsőbbségeiről és</w:t>
      </w:r>
      <w:r>
        <w:rPr>
          <w:lang w:val="hu-HU"/>
        </w:rPr>
        <w:t xml:space="preserve"> </w:t>
      </w:r>
      <w:r w:rsidRPr="00AB1B96">
        <w:rPr>
          <w:lang w:val="hu-HU"/>
        </w:rPr>
        <w:t>követelményeiről, a Vajdaság Autonóm Tartomány költségvetéséről szóló</w:t>
      </w:r>
      <w:r>
        <w:rPr>
          <w:lang w:val="hu-HU"/>
        </w:rPr>
        <w:t xml:space="preserve"> </w:t>
      </w:r>
      <w:r w:rsidRPr="00AB1B96">
        <w:rPr>
          <w:lang w:val="hu-HU"/>
        </w:rPr>
        <w:t>rendelettel a Tartományi Oktatási, Jogalkotási, Közigazgatási és Nemzeti</w:t>
      </w:r>
      <w:r>
        <w:rPr>
          <w:lang w:val="hu-HU"/>
        </w:rPr>
        <w:t xml:space="preserve"> </w:t>
      </w:r>
      <w:r w:rsidRPr="00AB1B96">
        <w:rPr>
          <w:lang w:val="hu-HU"/>
        </w:rPr>
        <w:t>Kisebbségi – Nemzeti Közösségi Titkárság (a továbbiakban: Titkárság)</w:t>
      </w:r>
      <w:r>
        <w:rPr>
          <w:lang w:val="hu-HU"/>
        </w:rPr>
        <w:t xml:space="preserve"> </w:t>
      </w:r>
      <w:r w:rsidRPr="00AB1B96">
        <w:rPr>
          <w:lang w:val="hu-HU"/>
        </w:rPr>
        <w:t>külön rovatrendjében jóváhagyott felhasználásokkal összhangban.</w:t>
      </w:r>
    </w:p>
    <w:p w:rsidR="00AB1B96" w:rsidRPr="00F235A5" w:rsidRDefault="00AB1B96" w:rsidP="00F235A5">
      <w:pPr>
        <w:jc w:val="center"/>
        <w:rPr>
          <w:b/>
          <w:lang w:val="hu-HU"/>
        </w:rPr>
      </w:pPr>
      <w:r w:rsidRPr="00F235A5">
        <w:rPr>
          <w:b/>
          <w:lang w:val="hu-HU"/>
        </w:rPr>
        <w:t>2. szakasz</w:t>
      </w:r>
    </w:p>
    <w:p w:rsidR="00AB1B96" w:rsidRPr="00F235A5" w:rsidRDefault="00AB1B96" w:rsidP="00F235A5">
      <w:pPr>
        <w:ind w:firstLine="720"/>
        <w:jc w:val="both"/>
        <w:rPr>
          <w:lang w:val="hu-HU"/>
        </w:rPr>
      </w:pPr>
      <w:r w:rsidRPr="00F235A5">
        <w:rPr>
          <w:lang w:val="hu-HU"/>
        </w:rPr>
        <w:t>Az eszközökre a Szerb Köztársaság, Vajdaság Autonóm Tartomány</w:t>
      </w:r>
      <w:r w:rsidR="00F235A5" w:rsidRPr="00F235A5">
        <w:rPr>
          <w:lang w:val="hu-HU"/>
        </w:rPr>
        <w:t xml:space="preserve"> </w:t>
      </w:r>
      <w:r w:rsidRPr="00F235A5">
        <w:rPr>
          <w:lang w:val="hu-HU"/>
        </w:rPr>
        <w:t>vagy a helyi önkormányzatok által alapított Vajdaság autonóm tartományi</w:t>
      </w:r>
      <w:r w:rsidR="00F235A5" w:rsidRPr="00F235A5">
        <w:rPr>
          <w:lang w:val="hu-HU"/>
        </w:rPr>
        <w:t xml:space="preserve"> </w:t>
      </w:r>
      <w:r w:rsidRPr="00F235A5">
        <w:rPr>
          <w:lang w:val="hu-HU"/>
        </w:rPr>
        <w:t>általános és középiskolai intézmények, az oktatásban foglalkoztatottak</w:t>
      </w:r>
      <w:r w:rsidR="00F235A5" w:rsidRPr="00F235A5">
        <w:rPr>
          <w:lang w:val="hu-HU"/>
        </w:rPr>
        <w:t xml:space="preserve"> </w:t>
      </w:r>
      <w:r w:rsidRPr="00F235A5">
        <w:rPr>
          <w:lang w:val="hu-HU"/>
        </w:rPr>
        <w:t>szakmai továbbképzésével foglalkozó Vajdaság autonóm</w:t>
      </w:r>
      <w:r w:rsidR="00F235A5" w:rsidRPr="00F235A5">
        <w:rPr>
          <w:lang w:val="hu-HU"/>
        </w:rPr>
        <w:t xml:space="preserve"> </w:t>
      </w:r>
      <w:r w:rsidRPr="00F235A5">
        <w:rPr>
          <w:lang w:val="hu-HU"/>
        </w:rPr>
        <w:t>tartományi székhelyű regionális központok, valamint Vajdaság autonóm</w:t>
      </w:r>
      <w:r w:rsidR="00F235A5" w:rsidRPr="00F235A5">
        <w:rPr>
          <w:lang w:val="hu-HU"/>
        </w:rPr>
        <w:t xml:space="preserve"> </w:t>
      </w:r>
      <w:r w:rsidRPr="00F235A5">
        <w:rPr>
          <w:lang w:val="hu-HU"/>
        </w:rPr>
        <w:t>tartományi székhelyű egyesületek pályázhatnak, amelyek társulási</w:t>
      </w:r>
      <w:r w:rsidR="00F235A5" w:rsidRPr="00F235A5">
        <w:rPr>
          <w:lang w:val="hu-HU"/>
        </w:rPr>
        <w:t xml:space="preserve"> </w:t>
      </w:r>
      <w:r w:rsidRPr="00F235A5">
        <w:rPr>
          <w:lang w:val="hu-HU"/>
        </w:rPr>
        <w:t>céljainak egyikeként az oktatás területén folytatott tevékenységet</w:t>
      </w:r>
      <w:r w:rsidR="00F235A5" w:rsidRPr="00F235A5">
        <w:rPr>
          <w:lang w:val="hu-HU"/>
        </w:rPr>
        <w:t xml:space="preserve"> </w:t>
      </w:r>
      <w:r w:rsidRPr="00F235A5">
        <w:rPr>
          <w:lang w:val="hu-HU"/>
        </w:rPr>
        <w:t>irányozták elő (a továbbiakban: kedvezményezett).</w:t>
      </w:r>
    </w:p>
    <w:p w:rsidR="00AB1B96" w:rsidRPr="00F235A5" w:rsidRDefault="00AB1B96" w:rsidP="00F235A5">
      <w:pPr>
        <w:jc w:val="center"/>
        <w:rPr>
          <w:b/>
          <w:lang w:val="hu-HU"/>
        </w:rPr>
      </w:pPr>
      <w:r w:rsidRPr="00F235A5">
        <w:rPr>
          <w:b/>
          <w:lang w:val="hu-HU"/>
        </w:rPr>
        <w:t>3. szakasz</w:t>
      </w:r>
    </w:p>
    <w:p w:rsidR="00AB1B96" w:rsidRPr="00AB1B96" w:rsidRDefault="00AB1B96" w:rsidP="00F235A5">
      <w:pPr>
        <w:ind w:firstLine="720"/>
        <w:jc w:val="both"/>
        <w:rPr>
          <w:lang w:val="hu-HU"/>
        </w:rPr>
      </w:pPr>
      <w:r w:rsidRPr="00AB1B96">
        <w:rPr>
          <w:lang w:val="hu-HU"/>
        </w:rPr>
        <w:t>A jelen Szabályzat 1. szakaszában foglalt programok és projektek</w:t>
      </w:r>
      <w:r w:rsidR="00F235A5">
        <w:rPr>
          <w:lang w:val="hu-HU"/>
        </w:rPr>
        <w:t xml:space="preserve"> </w:t>
      </w:r>
      <w:proofErr w:type="gramStart"/>
      <w:r w:rsidRPr="00AB1B96">
        <w:rPr>
          <w:lang w:val="hu-HU"/>
        </w:rPr>
        <w:t>finanszírozása</w:t>
      </w:r>
      <w:proofErr w:type="gramEnd"/>
      <w:r w:rsidRPr="00AB1B96">
        <w:rPr>
          <w:lang w:val="hu-HU"/>
        </w:rPr>
        <w:t xml:space="preserve"> és társfinanszírozása a Titkárság által évente legalább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egyszer meghirdetett pályázat (a továbbiakban: pályázat) útján történik,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a Titkárság pénzügyi terve szerint.</w:t>
      </w:r>
    </w:p>
    <w:p w:rsidR="00AB1B96" w:rsidRPr="00AB1B96" w:rsidRDefault="00AB1B96" w:rsidP="00F235A5">
      <w:pPr>
        <w:ind w:firstLine="720"/>
        <w:jc w:val="both"/>
        <w:rPr>
          <w:lang w:val="hu-HU"/>
        </w:rPr>
      </w:pPr>
      <w:r w:rsidRPr="00AB1B96">
        <w:rPr>
          <w:lang w:val="hu-HU"/>
        </w:rPr>
        <w:t>A pályázat adatot tartalmaz a pályázat kiírásának alapját képező</w:t>
      </w:r>
      <w:r w:rsidR="00F235A5">
        <w:rPr>
          <w:lang w:val="hu-HU"/>
        </w:rPr>
        <w:t xml:space="preserve"> </w:t>
      </w:r>
      <w:proofErr w:type="gramStart"/>
      <w:r w:rsidRPr="00AB1B96">
        <w:rPr>
          <w:lang w:val="hu-HU"/>
        </w:rPr>
        <w:t>aktus</w:t>
      </w:r>
      <w:proofErr w:type="gramEnd"/>
      <w:r w:rsidRPr="00AB1B96">
        <w:rPr>
          <w:lang w:val="hu-HU"/>
        </w:rPr>
        <w:t xml:space="preserve"> elnevezéséről, a pályázat szerint előirányzott keretösszegről, a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pályázók köréről, a pályázati rendeltetésekről, a pályázók rangsorolásának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követelményeiről, a pályázati kérelmek benyújtásának módjáról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és határidejéről, valamint a pályázati kérelem benyújtására jogosultságot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bizonyító egyéb dokumentumokról.</w:t>
      </w:r>
    </w:p>
    <w:p w:rsidR="00AB1B96" w:rsidRPr="00F235A5" w:rsidRDefault="00AB1B96" w:rsidP="00F235A5">
      <w:pPr>
        <w:jc w:val="center"/>
        <w:rPr>
          <w:b/>
          <w:lang w:val="hu-HU"/>
        </w:rPr>
      </w:pPr>
      <w:r w:rsidRPr="00F235A5">
        <w:rPr>
          <w:b/>
          <w:lang w:val="hu-HU"/>
        </w:rPr>
        <w:lastRenderedPageBreak/>
        <w:t>4. szakasz</w:t>
      </w:r>
    </w:p>
    <w:p w:rsidR="00AB1B96" w:rsidRPr="00AB1B96" w:rsidRDefault="00AB1B96" w:rsidP="00F235A5">
      <w:pPr>
        <w:ind w:firstLine="720"/>
        <w:rPr>
          <w:lang w:val="hu-HU"/>
        </w:rPr>
      </w:pPr>
      <w:r w:rsidRPr="00AB1B96">
        <w:rPr>
          <w:lang w:val="hu-HU"/>
        </w:rPr>
        <w:t>A pályázatot közzé kell tenni a Titkárság hivatalos weboldalán, Vajdaság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Autonóm Tartomány Hivatalos Lapjában és Vajdaság AT egész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területén terjesztett lapok egyikében.</w:t>
      </w:r>
    </w:p>
    <w:p w:rsidR="00AB1B96" w:rsidRPr="00AB1B96" w:rsidRDefault="00AB1B96" w:rsidP="00F235A5">
      <w:pPr>
        <w:ind w:firstLine="720"/>
        <w:rPr>
          <w:lang w:val="hu-HU"/>
        </w:rPr>
      </w:pPr>
      <w:r w:rsidRPr="00AB1B96">
        <w:rPr>
          <w:lang w:val="hu-HU"/>
        </w:rPr>
        <w:t xml:space="preserve">A pályázat </w:t>
      </w:r>
      <w:r w:rsidR="00F235A5" w:rsidRPr="00AB1B96">
        <w:rPr>
          <w:lang w:val="hu-HU"/>
        </w:rPr>
        <w:t>közzé tehető</w:t>
      </w:r>
      <w:r w:rsidRPr="00AB1B96">
        <w:rPr>
          <w:lang w:val="hu-HU"/>
        </w:rPr>
        <w:t xml:space="preserve"> a nemzeti kisebbségek – nemzeti közösségek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Vajdaság AT szerveiben hivatalos használatban levő nyelvein is.</w:t>
      </w:r>
    </w:p>
    <w:p w:rsidR="00AB1B96" w:rsidRPr="00F235A5" w:rsidRDefault="00AB1B96" w:rsidP="00F235A5">
      <w:pPr>
        <w:jc w:val="center"/>
        <w:rPr>
          <w:b/>
          <w:lang w:val="hu-HU"/>
        </w:rPr>
      </w:pPr>
      <w:r w:rsidRPr="00F235A5">
        <w:rPr>
          <w:b/>
          <w:lang w:val="hu-HU"/>
        </w:rPr>
        <w:t>5. szakasz</w:t>
      </w:r>
    </w:p>
    <w:p w:rsidR="00AB1B96" w:rsidRPr="00AB1B96" w:rsidRDefault="00AB1B96" w:rsidP="00F235A5">
      <w:pPr>
        <w:ind w:firstLine="720"/>
        <w:jc w:val="both"/>
        <w:rPr>
          <w:lang w:val="hu-HU"/>
        </w:rPr>
      </w:pPr>
      <w:r w:rsidRPr="00AB1B96">
        <w:rPr>
          <w:lang w:val="hu-HU"/>
        </w:rPr>
        <w:t>A pályázati kérelmeket írásban, a Titkárság weboldalán közzétett egységes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formanyomtatványon kell benyújtani, amelynek tartalmaznia kell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a pályázóra és a programra/</w:t>
      </w:r>
      <w:proofErr w:type="gramStart"/>
      <w:r w:rsidRPr="00AB1B96">
        <w:rPr>
          <w:lang w:val="hu-HU"/>
        </w:rPr>
        <w:t>projektumra</w:t>
      </w:r>
      <w:proofErr w:type="gramEnd"/>
      <w:r w:rsidRPr="00AB1B96">
        <w:rPr>
          <w:lang w:val="hu-HU"/>
        </w:rPr>
        <w:t xml:space="preserve"> vonatkozó általános adatokat: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elnevezés, prioritások, terület (általános iskolai vagy középfokú oktatás)</w:t>
      </w:r>
      <w:r w:rsidR="00F235A5">
        <w:rPr>
          <w:lang w:val="hu-HU"/>
        </w:rPr>
        <w:t xml:space="preserve">, </w:t>
      </w:r>
      <w:r w:rsidRPr="00AB1B96">
        <w:rPr>
          <w:lang w:val="hu-HU"/>
        </w:rPr>
        <w:t>általános és specifikus célok, megvalósítási időszak, résztvevők és végső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felhasználók, tevékenységek, várható eredmények, pénzügyi terv, a programok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és projektek hatása és fenntarthatósága és befejezésük határideje.</w:t>
      </w:r>
    </w:p>
    <w:p w:rsidR="00AB1B96" w:rsidRPr="00AB1B96" w:rsidRDefault="00AB1B96" w:rsidP="00F235A5">
      <w:pPr>
        <w:ind w:firstLine="720"/>
        <w:jc w:val="both"/>
        <w:rPr>
          <w:lang w:val="hu-HU"/>
        </w:rPr>
      </w:pPr>
      <w:r w:rsidRPr="00AB1B96">
        <w:rPr>
          <w:lang w:val="hu-HU"/>
        </w:rPr>
        <w:t>Egy jogi személy legfeljebb két pályázati kérelmet nyújthat be.</w:t>
      </w:r>
    </w:p>
    <w:p w:rsidR="00AB1B96" w:rsidRPr="00F235A5" w:rsidRDefault="00AB1B96" w:rsidP="00F235A5">
      <w:pPr>
        <w:jc w:val="center"/>
        <w:rPr>
          <w:b/>
          <w:lang w:val="hu-HU"/>
        </w:rPr>
      </w:pPr>
      <w:r w:rsidRPr="00F235A5">
        <w:rPr>
          <w:b/>
          <w:lang w:val="hu-HU"/>
        </w:rPr>
        <w:t>6. szakasz</w:t>
      </w:r>
    </w:p>
    <w:p w:rsidR="00AB1B96" w:rsidRPr="00AB1B96" w:rsidRDefault="00AB1B96" w:rsidP="00F235A5">
      <w:pPr>
        <w:ind w:firstLine="720"/>
        <w:jc w:val="both"/>
        <w:rPr>
          <w:lang w:val="hu-HU"/>
        </w:rPr>
      </w:pPr>
      <w:r w:rsidRPr="00AB1B96">
        <w:rPr>
          <w:lang w:val="hu-HU"/>
        </w:rPr>
        <w:t xml:space="preserve">A pályázati kérelemhez az alábbi </w:t>
      </w:r>
      <w:proofErr w:type="gramStart"/>
      <w:r w:rsidRPr="00AB1B96">
        <w:rPr>
          <w:lang w:val="hu-HU"/>
        </w:rPr>
        <w:t>dokumentumokat</w:t>
      </w:r>
      <w:proofErr w:type="gramEnd"/>
      <w:r w:rsidRPr="00AB1B96">
        <w:rPr>
          <w:lang w:val="hu-HU"/>
        </w:rPr>
        <w:t xml:space="preserve"> kell benyújtani:</w:t>
      </w:r>
    </w:p>
    <w:p w:rsidR="00AB1B96" w:rsidRPr="00AB1B96" w:rsidRDefault="00AB1B96" w:rsidP="00F235A5">
      <w:pPr>
        <w:jc w:val="both"/>
        <w:rPr>
          <w:lang w:val="hu-HU"/>
        </w:rPr>
      </w:pPr>
      <w:r w:rsidRPr="00AB1B96">
        <w:rPr>
          <w:lang w:val="hu-HU"/>
        </w:rPr>
        <w:t>1. az egyesületekről vezetett cégjegyzéki bejegyzésről szóló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határozat fénymásolata,</w:t>
      </w:r>
    </w:p>
    <w:p w:rsidR="00AB1B96" w:rsidRPr="00AB1B96" w:rsidRDefault="00AB1B96" w:rsidP="00F235A5">
      <w:pPr>
        <w:jc w:val="both"/>
        <w:rPr>
          <w:lang w:val="hu-HU"/>
        </w:rPr>
      </w:pPr>
      <w:r w:rsidRPr="00AB1B96">
        <w:rPr>
          <w:lang w:val="hu-HU"/>
        </w:rPr>
        <w:t>2. az adóazonosító számra vonatkozó bizonylat fénymásolata,</w:t>
      </w:r>
    </w:p>
    <w:p w:rsidR="00AB1B96" w:rsidRPr="00AB1B96" w:rsidRDefault="00AB1B96" w:rsidP="00F235A5">
      <w:pPr>
        <w:jc w:val="both"/>
        <w:rPr>
          <w:lang w:val="hu-HU"/>
        </w:rPr>
      </w:pPr>
      <w:r w:rsidRPr="00AB1B96">
        <w:rPr>
          <w:lang w:val="hu-HU"/>
        </w:rPr>
        <w:t>3. az egyesület alapszabályának vagy alapító okiratának (amely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tartalmazza, hogy az egyesület céljai a pályázatban előirányzott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területen valósulnak meg) az illetékes szerv által hitelesített</w:t>
      </w:r>
      <w:r w:rsidR="00F235A5">
        <w:rPr>
          <w:lang w:val="hu-HU"/>
        </w:rPr>
        <w:t xml:space="preserve"> f</w:t>
      </w:r>
      <w:r w:rsidRPr="00AB1B96">
        <w:rPr>
          <w:lang w:val="hu-HU"/>
        </w:rPr>
        <w:t>énymásolata,</w:t>
      </w:r>
    </w:p>
    <w:p w:rsidR="00AB1B96" w:rsidRPr="00AB1B96" w:rsidRDefault="00AB1B96" w:rsidP="00F235A5">
      <w:pPr>
        <w:jc w:val="both"/>
        <w:rPr>
          <w:lang w:val="hu-HU"/>
        </w:rPr>
      </w:pPr>
      <w:r w:rsidRPr="00AB1B96">
        <w:rPr>
          <w:lang w:val="hu-HU"/>
        </w:rPr>
        <w:t>4. szerződés a Vajdaság Autonóm Tartomány köztulajdonát képező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épület vagy épületrész bérletéről és bizonyíték az eszközök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befizetéséről Vajdaság Autonóm Tartomány költségvetésébe.</w:t>
      </w:r>
    </w:p>
    <w:p w:rsidR="00AB1B96" w:rsidRPr="00AB1B96" w:rsidRDefault="00AB1B96" w:rsidP="00F235A5">
      <w:pPr>
        <w:ind w:firstLine="720"/>
        <w:jc w:val="both"/>
        <w:rPr>
          <w:lang w:val="hu-HU"/>
        </w:rPr>
      </w:pPr>
      <w:r w:rsidRPr="00AB1B96">
        <w:rPr>
          <w:lang w:val="hu-HU"/>
        </w:rPr>
        <w:t>A Titkárság hivatalból beszerzi a jelen szakasz 1. és 2. pontjaiban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említett tényekről szóló adatokat, ez alól kivételt képez, ha a pályázó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>határozottan kijelenti, hogy azt ő maga teszi meg.</w:t>
      </w:r>
    </w:p>
    <w:p w:rsidR="00AB1B96" w:rsidRPr="00AB1B96" w:rsidRDefault="00AB1B96" w:rsidP="00F235A5">
      <w:pPr>
        <w:ind w:firstLine="720"/>
        <w:jc w:val="both"/>
        <w:rPr>
          <w:lang w:val="hu-HU"/>
        </w:rPr>
      </w:pPr>
      <w:r w:rsidRPr="00AB1B96">
        <w:rPr>
          <w:lang w:val="hu-HU"/>
        </w:rPr>
        <w:t>A Titkárság fenntartja a jogot, hogy a pályázótól, szükség szerint,</w:t>
      </w:r>
      <w:r w:rsidR="00F235A5">
        <w:rPr>
          <w:lang w:val="hu-HU"/>
        </w:rPr>
        <w:t xml:space="preserve"> </w:t>
      </w:r>
      <w:r w:rsidRPr="00AB1B96">
        <w:rPr>
          <w:lang w:val="hu-HU"/>
        </w:rPr>
        <w:t xml:space="preserve">további </w:t>
      </w:r>
      <w:proofErr w:type="gramStart"/>
      <w:r w:rsidRPr="00AB1B96">
        <w:rPr>
          <w:lang w:val="hu-HU"/>
        </w:rPr>
        <w:t>dokumentumokat</w:t>
      </w:r>
      <w:proofErr w:type="gramEnd"/>
      <w:r w:rsidRPr="00AB1B96">
        <w:rPr>
          <w:lang w:val="hu-HU"/>
        </w:rPr>
        <w:t xml:space="preserve"> és adatokat kérjen.</w:t>
      </w:r>
    </w:p>
    <w:p w:rsidR="00AB1B96" w:rsidRPr="00F235A5" w:rsidRDefault="00AB1B96" w:rsidP="00F235A5">
      <w:pPr>
        <w:jc w:val="center"/>
        <w:rPr>
          <w:b/>
          <w:lang w:val="hu-HU"/>
        </w:rPr>
      </w:pPr>
      <w:r w:rsidRPr="00F235A5">
        <w:rPr>
          <w:b/>
          <w:lang w:val="hu-HU"/>
        </w:rPr>
        <w:t>7. szakasz</w:t>
      </w:r>
    </w:p>
    <w:p w:rsidR="00AB1B96" w:rsidRPr="00AB1B96" w:rsidRDefault="00AB1B96" w:rsidP="00F235A5">
      <w:pPr>
        <w:ind w:firstLine="720"/>
        <w:rPr>
          <w:lang w:val="hu-HU"/>
        </w:rPr>
      </w:pPr>
      <w:r w:rsidRPr="00AB1B96">
        <w:rPr>
          <w:lang w:val="hu-HU"/>
        </w:rPr>
        <w:t>A bizottság nem veszi figyelembe: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- a hiányos kérelmeket,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- késve érkező kérelmeket,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- a jogosulatlan kérelmeket (a nem a felhatalmazott személy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által vagy nem a pályázók köréhez tartozó által benyújtott),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- célt tévesztett kérelmeket (amelyek nem a jelen Szabályzat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10. szakaszában megállapított és a pályázatban előirányzott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rendeltetésekre vonatkoznak),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lastRenderedPageBreak/>
        <w:t>- a projekt megvalósításával kapcsolatos felszerelés beszerzésére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vagy karbantartására vonatkozó kérelmeket,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- olyan pályázó kérelmét, aki az előző időszakban az odaítélt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eszközök felhasználását sem pénzügyi, sem tartalmi (leíró)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beszámolóval nem igazolta,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- olyan pályázó kérelmét, aki az előző pályázati időszakban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a program/projekt megvalósításáról szóló tartalmi/pénzügyi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beszámolót nem a megszabott határidőben nyújtotta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be,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- azokat a programokat, illetve projekteket, amelyek nagyobb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részének a teljesítése a tárgyévi költségvetésben nem lehetséges.</w:t>
      </w:r>
    </w:p>
    <w:p w:rsidR="00AB1B96" w:rsidRPr="006604E6" w:rsidRDefault="00AB1B96" w:rsidP="006604E6">
      <w:pPr>
        <w:jc w:val="center"/>
        <w:rPr>
          <w:b/>
          <w:lang w:val="hu-HU"/>
        </w:rPr>
      </w:pPr>
      <w:r w:rsidRPr="006604E6">
        <w:rPr>
          <w:b/>
          <w:lang w:val="hu-HU"/>
        </w:rPr>
        <w:t>8. szakasz</w:t>
      </w:r>
    </w:p>
    <w:p w:rsidR="00AB1B96" w:rsidRPr="00AB1B96" w:rsidRDefault="00AB1B96" w:rsidP="006604E6">
      <w:pPr>
        <w:ind w:firstLine="720"/>
        <w:jc w:val="both"/>
        <w:rPr>
          <w:lang w:val="hu-HU"/>
        </w:rPr>
      </w:pPr>
      <w:r w:rsidRPr="00AB1B96">
        <w:rPr>
          <w:lang w:val="hu-HU"/>
        </w:rPr>
        <w:t>Az oktatásügyi illetékes tartományi titkár (a továbbiakban: tartományi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titkár) bizottságot alakít a Vajdaság autonóm tartományi általános-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és középiskolai oktatási és nevelési programokra és projektekre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szánt eszközök odaítélésére meghirdetett pályázat lebonyolítására (a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továbbiakban: Bizottság).</w:t>
      </w:r>
    </w:p>
    <w:p w:rsidR="00AB1B96" w:rsidRPr="00AB1B96" w:rsidRDefault="00AB1B96" w:rsidP="006604E6">
      <w:pPr>
        <w:ind w:firstLine="720"/>
        <w:jc w:val="both"/>
        <w:rPr>
          <w:lang w:val="hu-HU"/>
        </w:rPr>
      </w:pPr>
      <w:r w:rsidRPr="00AB1B96">
        <w:rPr>
          <w:lang w:val="hu-HU"/>
        </w:rPr>
        <w:t>A Bizottság megvitatja a pályázatra benyújtott kérelmeket.</w:t>
      </w:r>
    </w:p>
    <w:p w:rsidR="00AB1B96" w:rsidRPr="00AB1B96" w:rsidRDefault="00AB1B96" w:rsidP="006604E6">
      <w:pPr>
        <w:ind w:firstLine="720"/>
        <w:jc w:val="both"/>
        <w:rPr>
          <w:lang w:val="hu-HU"/>
        </w:rPr>
      </w:pPr>
      <w:r w:rsidRPr="00AB1B96">
        <w:rPr>
          <w:lang w:val="hu-HU"/>
        </w:rPr>
        <w:t>A Bizottság megállapítja az előírt pályázati követelmények teljesítését.</w:t>
      </w:r>
    </w:p>
    <w:p w:rsidR="00AB1B96" w:rsidRPr="00AB1B96" w:rsidRDefault="00AB1B96" w:rsidP="006604E6">
      <w:pPr>
        <w:ind w:firstLine="720"/>
        <w:jc w:val="both"/>
        <w:rPr>
          <w:lang w:val="hu-HU"/>
        </w:rPr>
      </w:pPr>
      <w:r w:rsidRPr="00AB1B96">
        <w:rPr>
          <w:lang w:val="hu-HU"/>
        </w:rPr>
        <w:t>A pályázati kérelmek elbírálását követően, a Bizottság megindokolt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javaslatot állít össze az eszközök odaítéléséről és benyújtja azt a tartományi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titkárnak.</w:t>
      </w:r>
    </w:p>
    <w:p w:rsidR="00AB1B96" w:rsidRPr="006604E6" w:rsidRDefault="00AB1B96" w:rsidP="006604E6">
      <w:pPr>
        <w:jc w:val="center"/>
        <w:rPr>
          <w:b/>
          <w:lang w:val="hu-HU"/>
        </w:rPr>
      </w:pPr>
      <w:r w:rsidRPr="006604E6">
        <w:rPr>
          <w:b/>
          <w:lang w:val="hu-HU"/>
        </w:rPr>
        <w:t>9. szakasz</w:t>
      </w:r>
    </w:p>
    <w:p w:rsidR="00AB1B96" w:rsidRPr="00AB1B96" w:rsidRDefault="00AB1B96" w:rsidP="006604E6">
      <w:pPr>
        <w:ind w:firstLine="720"/>
        <w:jc w:val="both"/>
        <w:rPr>
          <w:lang w:val="hu-HU"/>
        </w:rPr>
      </w:pPr>
      <w:r w:rsidRPr="00AB1B96">
        <w:rPr>
          <w:lang w:val="hu-HU"/>
        </w:rPr>
        <w:t>A tartományi titkár áttekinti a Bizottság javaslatát és határozatban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dönt az eszközök odaítéléséről a pályázók számára.</w:t>
      </w:r>
    </w:p>
    <w:p w:rsidR="00AB1B96" w:rsidRPr="00AB1B96" w:rsidRDefault="00AB1B96" w:rsidP="006604E6">
      <w:pPr>
        <w:ind w:firstLine="720"/>
        <w:jc w:val="both"/>
        <w:rPr>
          <w:lang w:val="hu-HU"/>
        </w:rPr>
      </w:pPr>
      <w:r w:rsidRPr="00AB1B96">
        <w:rPr>
          <w:lang w:val="hu-HU"/>
        </w:rPr>
        <w:t>A jelen szakasz 1. bekezdése szerinti határozat végleges.</w:t>
      </w:r>
    </w:p>
    <w:p w:rsidR="00AB1B96" w:rsidRPr="00AB1B96" w:rsidRDefault="00AB1B96" w:rsidP="006604E6">
      <w:pPr>
        <w:ind w:firstLine="720"/>
        <w:jc w:val="both"/>
        <w:rPr>
          <w:lang w:val="hu-HU"/>
        </w:rPr>
      </w:pPr>
      <w:r w:rsidRPr="00AB1B96">
        <w:rPr>
          <w:lang w:val="hu-HU"/>
        </w:rPr>
        <w:t>A pályázati eredményeket a Titkárság weboldalán kell közzétenni.</w:t>
      </w:r>
    </w:p>
    <w:p w:rsidR="00AB1B96" w:rsidRPr="006604E6" w:rsidRDefault="00AB1B96" w:rsidP="006604E6">
      <w:pPr>
        <w:jc w:val="center"/>
        <w:rPr>
          <w:b/>
          <w:lang w:val="hu-HU"/>
        </w:rPr>
      </w:pPr>
      <w:r w:rsidRPr="006604E6">
        <w:rPr>
          <w:b/>
          <w:lang w:val="hu-HU"/>
        </w:rPr>
        <w:t>10. szakasz</w:t>
      </w:r>
    </w:p>
    <w:p w:rsidR="00AB1B96" w:rsidRPr="00AB1B96" w:rsidRDefault="00AB1B96" w:rsidP="006604E6">
      <w:pPr>
        <w:ind w:firstLine="720"/>
        <w:jc w:val="both"/>
        <w:rPr>
          <w:lang w:val="hu-HU"/>
        </w:rPr>
      </w:pPr>
      <w:r w:rsidRPr="00AB1B96">
        <w:rPr>
          <w:lang w:val="hu-HU"/>
        </w:rPr>
        <w:t>A pályázati kérelmek megvitatása során a Bizottság azokat az általános-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és középiskolai oktatásra vonatkozó programokat és projekteket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veszi figyelembe, amelyek célja:</w:t>
      </w:r>
    </w:p>
    <w:p w:rsidR="00AB1B96" w:rsidRPr="006604E6" w:rsidRDefault="00AB1B96" w:rsidP="00AB1B96">
      <w:pPr>
        <w:rPr>
          <w:b/>
          <w:lang w:val="hu-HU"/>
        </w:rPr>
      </w:pPr>
      <w:r w:rsidRPr="006604E6">
        <w:rPr>
          <w:b/>
          <w:lang w:val="hu-HU"/>
        </w:rPr>
        <w:t>1. Az oktató és nevelő munka korszerűsítése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1a) az oktatási folyamat korszerűsítése az összes részvevő innovációja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és kreativitása révén,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1b) pedagógus-továbbképzés,</w:t>
      </w:r>
    </w:p>
    <w:p w:rsidR="00AB1B96" w:rsidRPr="00AB1B96" w:rsidRDefault="006604E6" w:rsidP="006604E6">
      <w:pPr>
        <w:jc w:val="both"/>
        <w:rPr>
          <w:lang w:val="hu-HU"/>
        </w:rPr>
      </w:pPr>
      <w:r>
        <w:rPr>
          <w:lang w:val="hu-HU"/>
        </w:rPr>
        <w:t>1c</w:t>
      </w:r>
      <w:r w:rsidR="00AB1B96" w:rsidRPr="00AB1B96">
        <w:rPr>
          <w:lang w:val="hu-HU"/>
        </w:rPr>
        <w:t>) az oktatásnak a médiában való népszerűsítése a jó gyakorlat</w:t>
      </w:r>
      <w:r>
        <w:rPr>
          <w:lang w:val="hu-HU"/>
        </w:rPr>
        <w:t xml:space="preserve"> </w:t>
      </w:r>
      <w:r w:rsidR="00AB1B96" w:rsidRPr="00AB1B96">
        <w:rPr>
          <w:lang w:val="hu-HU"/>
        </w:rPr>
        <w:t>példáinak és korszerű irányzatainak kiemelésével,</w:t>
      </w:r>
    </w:p>
    <w:p w:rsidR="00AB1B96" w:rsidRPr="00AB1B96" w:rsidRDefault="006604E6" w:rsidP="006604E6">
      <w:pPr>
        <w:jc w:val="both"/>
        <w:rPr>
          <w:lang w:val="hu-HU"/>
        </w:rPr>
      </w:pPr>
      <w:r>
        <w:rPr>
          <w:lang w:val="hu-HU"/>
        </w:rPr>
        <w:t>1d</w:t>
      </w:r>
      <w:r w:rsidR="00AB1B96" w:rsidRPr="00AB1B96">
        <w:rPr>
          <w:lang w:val="hu-HU"/>
        </w:rPr>
        <w:t>) képzés az interaktív táblák használatára az oktató-nevelő</w:t>
      </w:r>
      <w:r>
        <w:rPr>
          <w:lang w:val="hu-HU"/>
        </w:rPr>
        <w:t xml:space="preserve"> </w:t>
      </w:r>
      <w:r w:rsidR="00AB1B96" w:rsidRPr="00AB1B96">
        <w:rPr>
          <w:lang w:val="hu-HU"/>
        </w:rPr>
        <w:t>munkában, illetve olyan programok, amelyek megvalósításához</w:t>
      </w:r>
      <w:r>
        <w:rPr>
          <w:lang w:val="hu-HU"/>
        </w:rPr>
        <w:t xml:space="preserve"> </w:t>
      </w:r>
      <w:r w:rsidR="00AB1B96" w:rsidRPr="00AB1B96">
        <w:rPr>
          <w:lang w:val="hu-HU"/>
        </w:rPr>
        <w:t>interaktív tábla szükséges.</w:t>
      </w:r>
    </w:p>
    <w:p w:rsidR="00AB1B96" w:rsidRPr="006604E6" w:rsidRDefault="00AB1B96" w:rsidP="00AB1B96">
      <w:pPr>
        <w:rPr>
          <w:b/>
          <w:lang w:val="hu-HU"/>
        </w:rPr>
      </w:pPr>
      <w:r w:rsidRPr="006604E6">
        <w:rPr>
          <w:b/>
          <w:lang w:val="hu-HU"/>
        </w:rPr>
        <w:t>2. Az oktatás összehangolása a piaci szükségletekkel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lastRenderedPageBreak/>
        <w:t>- a vállalkozói szellem fellendítése, a gyakorlati és az életben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alkalmazott készségek fejlesztése, a pályaválasztás és karrierirányítás,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a szakmai gyakorlat színvonalának emelése.</w:t>
      </w:r>
    </w:p>
    <w:p w:rsidR="006604E6" w:rsidRDefault="006604E6" w:rsidP="00AB1B96">
      <w:pPr>
        <w:rPr>
          <w:lang w:val="hu-HU"/>
        </w:rPr>
      </w:pPr>
    </w:p>
    <w:p w:rsidR="00AB1B96" w:rsidRPr="006604E6" w:rsidRDefault="00AB1B96" w:rsidP="006604E6">
      <w:pPr>
        <w:jc w:val="both"/>
        <w:rPr>
          <w:b/>
          <w:lang w:val="hu-HU"/>
        </w:rPr>
      </w:pPr>
      <w:r w:rsidRPr="006604E6">
        <w:rPr>
          <w:b/>
          <w:lang w:val="hu-HU"/>
        </w:rPr>
        <w:t>3. A multikulturalizmus/interkul</w:t>
      </w:r>
      <w:bookmarkStart w:id="0" w:name="_GoBack"/>
      <w:bookmarkEnd w:id="0"/>
      <w:r w:rsidRPr="006604E6">
        <w:rPr>
          <w:b/>
          <w:lang w:val="hu-HU"/>
        </w:rPr>
        <w:t>turalizmus és a nemzeti kisebbségek</w:t>
      </w:r>
      <w:r w:rsidR="006604E6">
        <w:rPr>
          <w:b/>
          <w:lang w:val="hu-HU"/>
        </w:rPr>
        <w:t xml:space="preserve"> </w:t>
      </w:r>
      <w:r w:rsidRPr="00AB1B96">
        <w:rPr>
          <w:lang w:val="hu-HU"/>
        </w:rPr>
        <w:t xml:space="preserve">– </w:t>
      </w:r>
      <w:r w:rsidRPr="006604E6">
        <w:rPr>
          <w:b/>
          <w:lang w:val="hu-HU"/>
        </w:rPr>
        <w:t>nemzeti közösségek hagyományainak és anyanyelvének ápolása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- feltételek megteremtése, hogy a különböző nemzeti közösségek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tagjai jobban megismerjék egymást, valamint bővebb történelmi,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kulturális és az együttélésre vonatkozó egyéb fontos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ismereteket szerezzenek, a nemzetek közötti bizalom erősítése.</w:t>
      </w:r>
    </w:p>
    <w:p w:rsidR="00AB1B96" w:rsidRPr="006604E6" w:rsidRDefault="00AB1B96" w:rsidP="006604E6">
      <w:pPr>
        <w:jc w:val="both"/>
        <w:rPr>
          <w:b/>
          <w:lang w:val="hu-HU"/>
        </w:rPr>
      </w:pPr>
      <w:r w:rsidRPr="006604E6">
        <w:rPr>
          <w:b/>
          <w:lang w:val="hu-HU"/>
        </w:rPr>
        <w:t xml:space="preserve">4. Az inkluzív oktatás támogatása és a </w:t>
      </w:r>
      <w:proofErr w:type="gramStart"/>
      <w:r w:rsidRPr="006604E6">
        <w:rPr>
          <w:b/>
          <w:lang w:val="hu-HU"/>
        </w:rPr>
        <w:t>formális</w:t>
      </w:r>
      <w:proofErr w:type="gramEnd"/>
      <w:r w:rsidRPr="006604E6">
        <w:rPr>
          <w:b/>
          <w:lang w:val="hu-HU"/>
        </w:rPr>
        <w:t xml:space="preserve"> oktatás korai elhagyásának</w:t>
      </w:r>
      <w:r w:rsidR="006604E6">
        <w:rPr>
          <w:b/>
          <w:lang w:val="hu-HU"/>
        </w:rPr>
        <w:t xml:space="preserve"> </w:t>
      </w:r>
      <w:r w:rsidRPr="006604E6">
        <w:rPr>
          <w:b/>
          <w:lang w:val="hu-HU"/>
        </w:rPr>
        <w:t>megelőzése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4a) a tanulók társadalmi bevonása és előrehaladása (a fejlődési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zavarokkal, sajátos tanulási nehézségekkel küszködő és a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társadalmilag érzékeny csoportokhoz tartozó tanulók), valamint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 xml:space="preserve">a </w:t>
      </w:r>
      <w:proofErr w:type="gramStart"/>
      <w:r w:rsidRPr="00AB1B96">
        <w:rPr>
          <w:lang w:val="hu-HU"/>
        </w:rPr>
        <w:t>formális</w:t>
      </w:r>
      <w:proofErr w:type="gramEnd"/>
      <w:r w:rsidRPr="00AB1B96">
        <w:rPr>
          <w:lang w:val="hu-HU"/>
        </w:rPr>
        <w:t xml:space="preserve"> oktatás korai elhagyásának megelőzése.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4b) a kivételes képességű tanulók támogatása, tehetséggondozás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a tanulók oktatási és nevelési szükségleteivel összhangban (a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munkamódszereknek és feltételeknek a tanítási tartalom gazdagításával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 xml:space="preserve">és bővítésével való </w:t>
      </w:r>
      <w:proofErr w:type="gramStart"/>
      <w:r w:rsidRPr="00AB1B96">
        <w:rPr>
          <w:lang w:val="hu-HU"/>
        </w:rPr>
        <w:t>adaptálása</w:t>
      </w:r>
      <w:proofErr w:type="gramEnd"/>
      <w:r w:rsidRPr="00AB1B96">
        <w:rPr>
          <w:lang w:val="hu-HU"/>
        </w:rPr>
        <w:t>, a tanulók részvétele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a nem az Oktatási, Tudományügyi és Technológiai Fejlesztési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Minisztérium által szervezett versenyeken).</w:t>
      </w:r>
    </w:p>
    <w:p w:rsidR="00AB1B96" w:rsidRPr="006604E6" w:rsidRDefault="00AB1B96" w:rsidP="006604E6">
      <w:pPr>
        <w:jc w:val="both"/>
        <w:rPr>
          <w:b/>
          <w:lang w:val="hu-HU"/>
        </w:rPr>
      </w:pPr>
      <w:r w:rsidRPr="006604E6">
        <w:rPr>
          <w:b/>
          <w:lang w:val="hu-HU"/>
        </w:rPr>
        <w:t>5. A szabadidős tevékenységek ösztönzése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 xml:space="preserve">- a tanulók szabadidős és </w:t>
      </w:r>
      <w:r w:rsidR="006604E6" w:rsidRPr="00AB1B96">
        <w:rPr>
          <w:lang w:val="hu-HU"/>
        </w:rPr>
        <w:t>szünidői</w:t>
      </w:r>
      <w:r w:rsidRPr="00AB1B96">
        <w:rPr>
          <w:lang w:val="hu-HU"/>
        </w:rPr>
        <w:t xml:space="preserve"> tevékenységének megszervezése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és szakszerű irányítása, edukációs táborok, diáktalálkozók,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szakkörök, sport, tudományos-műszaki, művelődési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és egyéb tartalmak révén).</w:t>
      </w:r>
    </w:p>
    <w:p w:rsidR="00AB1B96" w:rsidRPr="006604E6" w:rsidRDefault="00AB1B96" w:rsidP="006604E6">
      <w:pPr>
        <w:jc w:val="center"/>
        <w:rPr>
          <w:b/>
          <w:lang w:val="hu-HU"/>
        </w:rPr>
      </w:pPr>
      <w:r w:rsidRPr="006604E6">
        <w:rPr>
          <w:b/>
          <w:lang w:val="hu-HU"/>
        </w:rPr>
        <w:t>11. szakasz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Az odaítélendő eszközök összegének megállapítása az alábbi mércék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szerint történik: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1. A program/projekt témájának való megfelelés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- a program/projekt céljai és tevékenységi köre összhangban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vannak a pályázati prioritásokkal,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 xml:space="preserve">- a program/projekt céljai egyértelműek, </w:t>
      </w:r>
      <w:proofErr w:type="gramStart"/>
      <w:r w:rsidRPr="00AB1B96">
        <w:rPr>
          <w:lang w:val="hu-HU"/>
        </w:rPr>
        <w:t>konkrétak</w:t>
      </w:r>
      <w:proofErr w:type="gramEnd"/>
      <w:r w:rsidRPr="00AB1B96">
        <w:rPr>
          <w:lang w:val="hu-HU"/>
        </w:rPr>
        <w:t xml:space="preserve"> és </w:t>
      </w:r>
      <w:r w:rsidR="00E83372" w:rsidRPr="00AB1B96">
        <w:rPr>
          <w:lang w:val="hu-HU"/>
        </w:rPr>
        <w:t>megvalósíthatók</w:t>
      </w:r>
      <w:r w:rsidRPr="00AB1B96">
        <w:rPr>
          <w:lang w:val="hu-HU"/>
        </w:rPr>
        <w:t>,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 xml:space="preserve">- a tevékenységek </w:t>
      </w:r>
      <w:proofErr w:type="gramStart"/>
      <w:r w:rsidRPr="00AB1B96">
        <w:rPr>
          <w:lang w:val="hu-HU"/>
        </w:rPr>
        <w:t>reálisak</w:t>
      </w:r>
      <w:proofErr w:type="gramEnd"/>
      <w:r w:rsidRPr="00AB1B96">
        <w:rPr>
          <w:lang w:val="hu-HU"/>
        </w:rPr>
        <w:t xml:space="preserve"> és a célok elérésére alkalmasak,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- az iskola és az egyesület innovációs megközelítést alkalmaz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az ismereteinek és tapasztalatainak a szélesebb társadalmi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közösségre való átadása tervezésének során.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2. A javasolt program/projekt hatása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- a célcsoport nagysága,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- a célcsoport bevonásának foka a neki szánt programba/projektbe,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- a program/projekt láthatósága,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- a program/projekt eredményeinek fenntarthatósága,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- a partnerintézmények bevonása a program/projekt megvalósításába.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lastRenderedPageBreak/>
        <w:t xml:space="preserve">3. Az előterjesztő </w:t>
      </w:r>
      <w:proofErr w:type="gramStart"/>
      <w:r w:rsidRPr="00AB1B96">
        <w:rPr>
          <w:lang w:val="hu-HU"/>
        </w:rPr>
        <w:t>kompetenciája</w:t>
      </w:r>
      <w:proofErr w:type="gramEnd"/>
      <w:r w:rsidRPr="00AB1B96">
        <w:rPr>
          <w:lang w:val="hu-HU"/>
        </w:rPr>
        <w:t xml:space="preserve"> és eddigi tapasztalatai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- az oktató-nevelő munka fejlesztéséhez hozzájáruló programok/projektek megvalósításában szerzett eddigi tapasztalatok.</w:t>
      </w:r>
    </w:p>
    <w:p w:rsidR="00AB1B96" w:rsidRPr="00AB1B96" w:rsidRDefault="00AB1B96" w:rsidP="006604E6">
      <w:pPr>
        <w:jc w:val="both"/>
        <w:rPr>
          <w:lang w:val="hu-HU"/>
        </w:rPr>
      </w:pPr>
      <w:r w:rsidRPr="00AB1B96">
        <w:rPr>
          <w:lang w:val="hu-HU"/>
        </w:rPr>
        <w:t>4. A Vajdaság Autonóm Tartomány köztulajdonát képező épület vagy épületrész bérletéből megvalósuló összeg.</w:t>
      </w:r>
    </w:p>
    <w:p w:rsidR="00AB1B96" w:rsidRPr="006604E6" w:rsidRDefault="00AB1B96" w:rsidP="006604E6">
      <w:pPr>
        <w:jc w:val="center"/>
        <w:rPr>
          <w:b/>
          <w:lang w:val="hu-HU"/>
        </w:rPr>
      </w:pPr>
      <w:r w:rsidRPr="006604E6">
        <w:rPr>
          <w:b/>
          <w:lang w:val="hu-HU"/>
        </w:rPr>
        <w:t>12. szakasz</w:t>
      </w:r>
    </w:p>
    <w:p w:rsidR="00AB1B96" w:rsidRPr="00AB1B96" w:rsidRDefault="00AB1B96" w:rsidP="006604E6">
      <w:pPr>
        <w:ind w:firstLine="720"/>
        <w:jc w:val="both"/>
        <w:rPr>
          <w:lang w:val="hu-HU"/>
        </w:rPr>
      </w:pPr>
      <w:r w:rsidRPr="00AB1B96">
        <w:rPr>
          <w:lang w:val="hu-HU"/>
        </w:rPr>
        <w:t>A Titkárság az eszközök odaítélésének kötelezettségét szerződés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alapján vállalja, a költségveté</w:t>
      </w:r>
      <w:r w:rsidR="006604E6">
        <w:rPr>
          <w:lang w:val="hu-HU"/>
        </w:rPr>
        <w:t xml:space="preserve">si </w:t>
      </w:r>
      <w:r w:rsidRPr="00AB1B96">
        <w:rPr>
          <w:lang w:val="hu-HU"/>
        </w:rPr>
        <w:t>rendszert szabályozó törvény szerint.</w:t>
      </w:r>
    </w:p>
    <w:p w:rsidR="00AB1B96" w:rsidRPr="006604E6" w:rsidRDefault="00AB1B96" w:rsidP="006604E6">
      <w:pPr>
        <w:jc w:val="center"/>
        <w:rPr>
          <w:b/>
          <w:lang w:val="hu-HU"/>
        </w:rPr>
      </w:pPr>
      <w:r w:rsidRPr="006604E6">
        <w:rPr>
          <w:b/>
          <w:lang w:val="hu-HU"/>
        </w:rPr>
        <w:t>13. szakasz</w:t>
      </w:r>
    </w:p>
    <w:p w:rsidR="00AB1B96" w:rsidRPr="00AB1B96" w:rsidRDefault="00AB1B96" w:rsidP="00811689">
      <w:pPr>
        <w:ind w:firstLine="720"/>
        <w:jc w:val="both"/>
        <w:rPr>
          <w:lang w:val="hu-HU"/>
        </w:rPr>
      </w:pPr>
      <w:r w:rsidRPr="00AB1B96">
        <w:rPr>
          <w:lang w:val="hu-HU"/>
        </w:rPr>
        <w:t>A kedvezményezett köteles az odaítélt eszközöket rendeltetésszerűen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és jogszerűen felhasználni, a fel nem használt ö</w:t>
      </w:r>
      <w:r w:rsidR="006604E6">
        <w:rPr>
          <w:lang w:val="hu-HU"/>
        </w:rPr>
        <w:t>sszeget pedig vis</w:t>
      </w:r>
      <w:r w:rsidRPr="00AB1B96">
        <w:rPr>
          <w:lang w:val="hu-HU"/>
        </w:rPr>
        <w:t>szautalni Vajdaság AT költségvetésébe.</w:t>
      </w:r>
    </w:p>
    <w:p w:rsidR="00AB1B96" w:rsidRPr="00AB1B96" w:rsidRDefault="00AB1B96" w:rsidP="00811689">
      <w:pPr>
        <w:ind w:firstLine="720"/>
        <w:jc w:val="both"/>
        <w:rPr>
          <w:lang w:val="hu-HU"/>
        </w:rPr>
      </w:pPr>
      <w:r w:rsidRPr="00AB1B96">
        <w:rPr>
          <w:lang w:val="hu-HU"/>
        </w:rPr>
        <w:t>A kedvezményezett köteles az eszközök felhasználásáról az odaítélés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szerinti rendeltetés teljesítésére kijelölt határidőtől számított legfeljebb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15 (tizenöt) napos határidőben beszámolót benyújtani, a felelős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 xml:space="preserve">személyek által hitelesített megfelelő </w:t>
      </w:r>
      <w:proofErr w:type="gramStart"/>
      <w:r w:rsidRPr="00AB1B96">
        <w:rPr>
          <w:lang w:val="hu-HU"/>
        </w:rPr>
        <w:t>dokumentumokkal</w:t>
      </w:r>
      <w:proofErr w:type="gramEnd"/>
      <w:r w:rsidRPr="00AB1B96">
        <w:rPr>
          <w:lang w:val="hu-HU"/>
        </w:rPr>
        <w:t>.</w:t>
      </w:r>
    </w:p>
    <w:p w:rsidR="00AB1B96" w:rsidRPr="00AB1B96" w:rsidRDefault="00AB1B96" w:rsidP="00811689">
      <w:pPr>
        <w:ind w:firstLine="720"/>
        <w:jc w:val="both"/>
        <w:rPr>
          <w:lang w:val="hu-HU"/>
        </w:rPr>
      </w:pPr>
      <w:r w:rsidRPr="00AB1B96">
        <w:rPr>
          <w:lang w:val="hu-HU"/>
        </w:rPr>
        <w:t>A kedvezményezett felszólítást kap, ha a beszámolót nem nyújtja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be határidőben.</w:t>
      </w:r>
    </w:p>
    <w:p w:rsidR="00AB1B96" w:rsidRPr="00AB1B96" w:rsidRDefault="00AB1B96" w:rsidP="00811689">
      <w:pPr>
        <w:ind w:firstLine="720"/>
        <w:jc w:val="both"/>
        <w:rPr>
          <w:lang w:val="hu-HU"/>
        </w:rPr>
      </w:pPr>
      <w:r w:rsidRPr="00AB1B96">
        <w:rPr>
          <w:lang w:val="hu-HU"/>
        </w:rPr>
        <w:t>Amennyiben a felszólítást követő 8 napos határidőben sem küldi meg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a teljes tartalmi és pénzügyi beszámolót, a kedvezményezett köteles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visszautalni a támogatás összegét Vajdaság AT költségvetésébe, és a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következő pályázati kiírás alkalmával elveszíti pályázati jogosultságát.</w:t>
      </w:r>
    </w:p>
    <w:p w:rsidR="00AB1B96" w:rsidRPr="00AB1B96" w:rsidRDefault="00AB1B96" w:rsidP="00811689">
      <w:pPr>
        <w:ind w:firstLine="720"/>
        <w:jc w:val="both"/>
        <w:rPr>
          <w:lang w:val="hu-HU"/>
        </w:rPr>
      </w:pPr>
      <w:r w:rsidRPr="00AB1B96">
        <w:rPr>
          <w:lang w:val="hu-HU"/>
        </w:rPr>
        <w:t>A kedvezményezett köteles az odaítélt eszközöket visszautalni Vajdaság</w:t>
      </w:r>
      <w:r w:rsidR="00811689">
        <w:rPr>
          <w:lang w:val="hu-HU"/>
        </w:rPr>
        <w:t xml:space="preserve"> </w:t>
      </w:r>
      <w:r w:rsidRPr="00AB1B96">
        <w:rPr>
          <w:lang w:val="hu-HU"/>
        </w:rPr>
        <w:t>AT költségvetésébe, ha megállapítást nyer, hogy nem az odaítélés</w:t>
      </w:r>
      <w:r w:rsidR="00811689">
        <w:rPr>
          <w:lang w:val="hu-HU"/>
        </w:rPr>
        <w:t xml:space="preserve"> </w:t>
      </w:r>
      <w:r w:rsidRPr="00AB1B96">
        <w:rPr>
          <w:lang w:val="hu-HU"/>
        </w:rPr>
        <w:t>szerinti rendeltetésre használta fel.</w:t>
      </w:r>
    </w:p>
    <w:p w:rsidR="00AB1B96" w:rsidRPr="00AB1B96" w:rsidRDefault="00AB1B96" w:rsidP="00811689">
      <w:pPr>
        <w:ind w:firstLine="720"/>
        <w:jc w:val="both"/>
        <w:rPr>
          <w:lang w:val="hu-HU"/>
        </w:rPr>
      </w:pPr>
      <w:r w:rsidRPr="00AB1B96">
        <w:rPr>
          <w:lang w:val="hu-HU"/>
        </w:rPr>
        <w:t>Ha fennáll a gyanú, hogy az odaítélt eszközök felhasználása egyes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esetekben nem rendeltetés szerint történt, a Titkárság eljárást indít a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költségvetési felügyeletre illetékes tartományi közigazgatási szervnél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az eszközfelhasználás rendeltetésszerű és jogszerű felhasználásának</w:t>
      </w:r>
      <w:r w:rsidR="006604E6">
        <w:rPr>
          <w:lang w:val="hu-HU"/>
        </w:rPr>
        <w:t xml:space="preserve"> </w:t>
      </w:r>
      <w:r w:rsidRPr="00AB1B96">
        <w:rPr>
          <w:lang w:val="hu-HU"/>
        </w:rPr>
        <w:t>ellenőrzésére.</w:t>
      </w:r>
    </w:p>
    <w:p w:rsidR="00AB1B96" w:rsidRPr="00811689" w:rsidRDefault="00AB1B96" w:rsidP="00811689">
      <w:pPr>
        <w:jc w:val="center"/>
        <w:rPr>
          <w:b/>
          <w:lang w:val="hu-HU"/>
        </w:rPr>
      </w:pPr>
      <w:r w:rsidRPr="00811689">
        <w:rPr>
          <w:b/>
          <w:lang w:val="hu-HU"/>
        </w:rPr>
        <w:t>14. szakasz</w:t>
      </w:r>
    </w:p>
    <w:p w:rsidR="00AB1B96" w:rsidRPr="00AB1B96" w:rsidRDefault="00AB1B96" w:rsidP="00811689">
      <w:pPr>
        <w:ind w:firstLine="720"/>
        <w:jc w:val="both"/>
        <w:rPr>
          <w:lang w:val="hu-HU"/>
        </w:rPr>
      </w:pPr>
      <w:r w:rsidRPr="00AB1B96">
        <w:rPr>
          <w:lang w:val="hu-HU"/>
        </w:rPr>
        <w:t>Jelen Szabályzat hatályba lépésének napján hatályát veszti a Tartományi</w:t>
      </w:r>
      <w:r w:rsidR="00811689">
        <w:rPr>
          <w:lang w:val="hu-HU"/>
        </w:rPr>
        <w:t xml:space="preserve"> </w:t>
      </w:r>
      <w:r w:rsidRPr="00AB1B96">
        <w:rPr>
          <w:lang w:val="hu-HU"/>
        </w:rPr>
        <w:t>Oktatási, Jogalkotási, Közigazgatási és Nemzeti Kisebbségi</w:t>
      </w:r>
      <w:r w:rsidR="00811689">
        <w:rPr>
          <w:lang w:val="hu-HU"/>
        </w:rPr>
        <w:t xml:space="preserve"> </w:t>
      </w:r>
      <w:r w:rsidRPr="00AB1B96">
        <w:rPr>
          <w:lang w:val="hu-HU"/>
        </w:rPr>
        <w:t>– Nemzeti Közösségi Titkárság költségvetési eszközeinek az általános</w:t>
      </w:r>
      <w:r w:rsidR="00811689">
        <w:rPr>
          <w:lang w:val="hu-HU"/>
        </w:rPr>
        <w:t xml:space="preserve"> </w:t>
      </w:r>
      <w:r w:rsidRPr="00AB1B96">
        <w:rPr>
          <w:lang w:val="hu-HU"/>
        </w:rPr>
        <w:t xml:space="preserve">iskolai és középiskolai oktatási és diákjóléti programokra és </w:t>
      </w:r>
      <w:proofErr w:type="gramStart"/>
      <w:r w:rsidRPr="00AB1B96">
        <w:rPr>
          <w:lang w:val="hu-HU"/>
        </w:rPr>
        <w:t>projektumokra</w:t>
      </w:r>
      <w:proofErr w:type="gramEnd"/>
      <w:r w:rsidR="00811689">
        <w:rPr>
          <w:lang w:val="hu-HU"/>
        </w:rPr>
        <w:t xml:space="preserve"> </w:t>
      </w:r>
      <w:r w:rsidRPr="00AB1B96">
        <w:rPr>
          <w:lang w:val="hu-HU"/>
        </w:rPr>
        <w:t>való odaítéléséről szóló 2019. február 5-én kelt, 128-451-</w:t>
      </w:r>
      <w:r w:rsidR="00811689">
        <w:rPr>
          <w:lang w:val="hu-HU"/>
        </w:rPr>
        <w:t xml:space="preserve"> </w:t>
      </w:r>
      <w:r w:rsidRPr="00AB1B96">
        <w:rPr>
          <w:lang w:val="hu-HU"/>
        </w:rPr>
        <w:t>2014/2019-01 számú szabályzat.</w:t>
      </w:r>
    </w:p>
    <w:p w:rsidR="00AB1B96" w:rsidRPr="00811689" w:rsidRDefault="00AB1B96" w:rsidP="00811689">
      <w:pPr>
        <w:jc w:val="center"/>
        <w:rPr>
          <w:b/>
          <w:lang w:val="hu-HU"/>
        </w:rPr>
      </w:pPr>
      <w:r w:rsidRPr="00811689">
        <w:rPr>
          <w:b/>
          <w:lang w:val="hu-HU"/>
        </w:rPr>
        <w:t>15. szakasz</w:t>
      </w:r>
    </w:p>
    <w:p w:rsidR="00AB1B96" w:rsidRPr="00AB1B96" w:rsidRDefault="00AB1B96" w:rsidP="00811689">
      <w:pPr>
        <w:ind w:firstLine="720"/>
        <w:jc w:val="both"/>
        <w:rPr>
          <w:lang w:val="hu-HU"/>
        </w:rPr>
      </w:pPr>
      <w:r w:rsidRPr="00AB1B96">
        <w:rPr>
          <w:lang w:val="hu-HU"/>
        </w:rPr>
        <w:t>Jelen Szabályzat Vajdaság Autonóm Tartomány Hivatalos Lapjában</w:t>
      </w:r>
      <w:r w:rsidR="00811689">
        <w:rPr>
          <w:lang w:val="hu-HU"/>
        </w:rPr>
        <w:t xml:space="preserve"> </w:t>
      </w:r>
      <w:r w:rsidRPr="00AB1B96">
        <w:rPr>
          <w:lang w:val="hu-HU"/>
        </w:rPr>
        <w:t>való közzétételének napján lép hatályba.</w:t>
      </w:r>
    </w:p>
    <w:p w:rsidR="00811689" w:rsidRDefault="00AB1B96" w:rsidP="00811689">
      <w:pPr>
        <w:spacing w:after="0"/>
        <w:jc w:val="center"/>
        <w:rPr>
          <w:b/>
          <w:bCs/>
          <w:lang w:val="hu-HU"/>
        </w:rPr>
      </w:pPr>
      <w:r w:rsidRPr="00AB1B96">
        <w:rPr>
          <w:b/>
          <w:bCs/>
          <w:lang w:val="hu-HU"/>
        </w:rPr>
        <w:t>TARTOMÁNYI OKTATÁSI, JOGALKOTÁSI,</w:t>
      </w:r>
      <w:r w:rsidR="00811689">
        <w:rPr>
          <w:b/>
          <w:bCs/>
          <w:lang w:val="hu-HU"/>
        </w:rPr>
        <w:t xml:space="preserve"> </w:t>
      </w:r>
      <w:r w:rsidRPr="00AB1B96">
        <w:rPr>
          <w:b/>
          <w:bCs/>
          <w:lang w:val="hu-HU"/>
        </w:rPr>
        <w:t xml:space="preserve">KÖZIGAZGATÁSI </w:t>
      </w:r>
      <w:proofErr w:type="gramStart"/>
      <w:r w:rsidRPr="00AB1B96">
        <w:rPr>
          <w:b/>
          <w:bCs/>
          <w:lang w:val="hu-HU"/>
        </w:rPr>
        <w:t>ÉS</w:t>
      </w:r>
      <w:proofErr w:type="gramEnd"/>
    </w:p>
    <w:p w:rsidR="00AB1B96" w:rsidRPr="00AB1B96" w:rsidRDefault="00AB1B96" w:rsidP="00811689">
      <w:pPr>
        <w:spacing w:after="0"/>
        <w:jc w:val="center"/>
        <w:rPr>
          <w:b/>
          <w:bCs/>
          <w:lang w:val="hu-HU"/>
        </w:rPr>
      </w:pPr>
      <w:r w:rsidRPr="00AB1B96">
        <w:rPr>
          <w:b/>
          <w:bCs/>
          <w:lang w:val="hu-HU"/>
        </w:rPr>
        <w:t>NEMZETI KISEBBSÉGI – NEMZETI KÖZÖSSÉGI</w:t>
      </w:r>
      <w:r w:rsidR="00811689">
        <w:rPr>
          <w:b/>
          <w:bCs/>
          <w:lang w:val="hu-HU"/>
        </w:rPr>
        <w:t xml:space="preserve"> </w:t>
      </w:r>
      <w:r w:rsidRPr="00AB1B96">
        <w:rPr>
          <w:b/>
          <w:bCs/>
          <w:lang w:val="hu-HU"/>
        </w:rPr>
        <w:t>TITKÁRSÁG</w:t>
      </w:r>
    </w:p>
    <w:p w:rsidR="00AB1B96" w:rsidRPr="00AB1B96" w:rsidRDefault="00AB1B96" w:rsidP="00811689">
      <w:pPr>
        <w:spacing w:after="0"/>
        <w:rPr>
          <w:lang w:val="hu-HU"/>
        </w:rPr>
      </w:pPr>
      <w:r w:rsidRPr="00AB1B96">
        <w:rPr>
          <w:lang w:val="hu-HU"/>
        </w:rPr>
        <w:t>Szám: 128-451-1046/2020-01</w:t>
      </w:r>
    </w:p>
    <w:p w:rsidR="00AB1B96" w:rsidRPr="00AB1B96" w:rsidRDefault="00AB1B96" w:rsidP="00811689">
      <w:pPr>
        <w:spacing w:after="0"/>
        <w:rPr>
          <w:lang w:val="hu-HU"/>
        </w:rPr>
      </w:pPr>
      <w:r w:rsidRPr="00AB1B96">
        <w:rPr>
          <w:lang w:val="hu-HU"/>
        </w:rPr>
        <w:t>Újvidék, 2020. február 19.</w:t>
      </w:r>
    </w:p>
    <w:p w:rsidR="00AB1B96" w:rsidRPr="00AB1B96" w:rsidRDefault="00AB1B96" w:rsidP="00811689">
      <w:pPr>
        <w:spacing w:after="0"/>
        <w:jc w:val="right"/>
        <w:rPr>
          <w:b/>
          <w:bCs/>
          <w:lang w:val="hu-HU"/>
        </w:rPr>
      </w:pPr>
      <w:r w:rsidRPr="00AB1B96">
        <w:rPr>
          <w:b/>
          <w:bCs/>
          <w:lang w:val="hu-HU"/>
        </w:rPr>
        <w:lastRenderedPageBreak/>
        <w:t>Milan Kovačević</w:t>
      </w:r>
    </w:p>
    <w:p w:rsidR="00AB1B96" w:rsidRPr="00AB1B96" w:rsidRDefault="00AB1B96" w:rsidP="00811689">
      <w:pPr>
        <w:spacing w:after="0"/>
        <w:jc w:val="right"/>
        <w:rPr>
          <w:lang w:val="hu-HU"/>
        </w:rPr>
      </w:pPr>
      <w:r w:rsidRPr="00AB1B96">
        <w:rPr>
          <w:lang w:val="hu-HU"/>
        </w:rPr>
        <w:t>A TARTOMÁNYI TITKÁR M.B</w:t>
      </w:r>
    </w:p>
    <w:sectPr w:rsidR="00AB1B96" w:rsidRPr="00AB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90"/>
    <w:rsid w:val="004E1390"/>
    <w:rsid w:val="006604E6"/>
    <w:rsid w:val="00811689"/>
    <w:rsid w:val="00AB1B96"/>
    <w:rsid w:val="00B3116F"/>
    <w:rsid w:val="00E83372"/>
    <w:rsid w:val="00F2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2573"/>
  <w15:chartTrackingRefBased/>
  <w15:docId w15:val="{053F19A4-FD98-4D17-96C8-2EFC894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Terteli</dc:creator>
  <cp:keywords/>
  <dc:description/>
  <cp:lastModifiedBy>Sabina Terteli</cp:lastModifiedBy>
  <cp:revision>4</cp:revision>
  <dcterms:created xsi:type="dcterms:W3CDTF">2021-02-17T10:59:00Z</dcterms:created>
  <dcterms:modified xsi:type="dcterms:W3CDTF">2021-02-17T11:25:00Z</dcterms:modified>
</cp:coreProperties>
</file>