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DF2ABA" w:rsidRPr="002E4A54" w14:paraId="3956DE71" w14:textId="77777777" w:rsidTr="003E1BBC">
        <w:trPr>
          <w:trHeight w:val="1975"/>
          <w:jc w:val="center"/>
        </w:trPr>
        <w:tc>
          <w:tcPr>
            <w:tcW w:w="2552" w:type="dxa"/>
            <w:gridSpan w:val="2"/>
          </w:tcPr>
          <w:p w14:paraId="31910C80" w14:textId="77777777" w:rsidR="006B0C94" w:rsidRPr="002E4A54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A399BE" wp14:editId="4F4DFE0A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4994865" w14:textId="77777777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>Szerb Köztársaság</w:t>
            </w:r>
          </w:p>
          <w:p w14:paraId="277AFF85" w14:textId="77777777" w:rsidR="006B0C94" w:rsidRPr="002E4A54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>Vajdaság Autonóm Tartomány</w:t>
            </w:r>
          </w:p>
          <w:p w14:paraId="34A946F7" w14:textId="77777777" w:rsidR="006B0C94" w:rsidRPr="002E4A54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>Tartományi Oktatási, Jogalkotási, Közigazgatási és</w:t>
            </w:r>
          </w:p>
          <w:p w14:paraId="5D144DAB" w14:textId="7CBBB161" w:rsidR="006B0C94" w:rsidRPr="002E4A54" w:rsidRDefault="006B0C94" w:rsidP="00874C11">
            <w:pPr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 xml:space="preserve">Nemzeti Kisebbségi </w:t>
            </w:r>
            <w:r w:rsidR="002E4A54">
              <w:rPr>
                <w:rFonts w:ascii="Calibri" w:hAnsi="Calibri"/>
                <w:sz w:val="22"/>
                <w:szCs w:val="22"/>
              </w:rPr>
              <w:t>–</w:t>
            </w:r>
            <w:r w:rsidRPr="002E4A54">
              <w:rPr>
                <w:rFonts w:ascii="Calibri" w:hAnsi="Calibri"/>
                <w:sz w:val="22"/>
                <w:szCs w:val="22"/>
              </w:rPr>
              <w:t xml:space="preserve"> Nemzeti</w:t>
            </w:r>
            <w:r w:rsidR="002E4A5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E4A54">
              <w:rPr>
                <w:rFonts w:ascii="Calibri" w:hAnsi="Calibri"/>
                <w:sz w:val="22"/>
                <w:szCs w:val="22"/>
              </w:rPr>
              <w:t>Közösségi Titkárság</w:t>
            </w:r>
          </w:p>
          <w:p w14:paraId="6EF46E16" w14:textId="77777777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E4A54">
              <w:rPr>
                <w:rFonts w:ascii="Calibri" w:hAnsi="Calibri"/>
                <w:sz w:val="22"/>
                <w:szCs w:val="22"/>
              </w:rPr>
              <w:t>Mihajlo</w:t>
            </w:r>
            <w:proofErr w:type="spellEnd"/>
            <w:r w:rsidRPr="002E4A5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E4A54">
              <w:rPr>
                <w:rFonts w:ascii="Calibri" w:hAnsi="Calibri"/>
                <w:sz w:val="22"/>
                <w:szCs w:val="22"/>
              </w:rPr>
              <w:t>Pupin</w:t>
            </w:r>
            <w:proofErr w:type="spellEnd"/>
            <w:r w:rsidRPr="002E4A54">
              <w:rPr>
                <w:rFonts w:ascii="Calibri" w:hAnsi="Calibri"/>
                <w:sz w:val="22"/>
                <w:szCs w:val="22"/>
              </w:rPr>
              <w:t xml:space="preserve"> sugárút 16</w:t>
            </w:r>
            <w:proofErr w:type="gramStart"/>
            <w:r w:rsidRPr="002E4A54">
              <w:rPr>
                <w:rFonts w:ascii="Calibri" w:hAnsi="Calibri"/>
                <w:sz w:val="22"/>
                <w:szCs w:val="22"/>
              </w:rPr>
              <w:t>.,</w:t>
            </w:r>
            <w:proofErr w:type="gramEnd"/>
            <w:r w:rsidRPr="002E4A54">
              <w:rPr>
                <w:rFonts w:ascii="Calibri" w:hAnsi="Calibri"/>
                <w:sz w:val="22"/>
                <w:szCs w:val="22"/>
              </w:rPr>
              <w:t xml:space="preserve"> 21000 Újvidék</w:t>
            </w:r>
          </w:p>
          <w:p w14:paraId="32304172" w14:textId="4855C043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>Tel</w:t>
            </w:r>
            <w:proofErr w:type="gramStart"/>
            <w:r w:rsidRPr="002E4A54">
              <w:rPr>
                <w:rFonts w:ascii="Calibri" w:hAnsi="Calibri"/>
                <w:sz w:val="22"/>
                <w:szCs w:val="22"/>
              </w:rPr>
              <w:t>.:</w:t>
            </w:r>
            <w:proofErr w:type="gramEnd"/>
            <w:r w:rsidRPr="002E4A54">
              <w:rPr>
                <w:rFonts w:ascii="Calibri" w:hAnsi="Calibri"/>
                <w:sz w:val="22"/>
                <w:szCs w:val="22"/>
              </w:rPr>
              <w:t xml:space="preserve"> +381 21  487  4502; </w:t>
            </w:r>
          </w:p>
          <w:p w14:paraId="004B8B35" w14:textId="77777777" w:rsidR="006B0C94" w:rsidRPr="002E4A54" w:rsidRDefault="0046262F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hyperlink r:id="rId7" w:history="1">
              <w:r w:rsidR="00DF2ABA" w:rsidRPr="002E4A54">
                <w:rPr>
                  <w:rFonts w:ascii="Calibri" w:hAnsi="Calibri"/>
                  <w:sz w:val="22"/>
                  <w:szCs w:val="22"/>
                </w:rPr>
                <w:t>ounz@vojvodinа.gov.rs</w:t>
              </w:r>
            </w:hyperlink>
          </w:p>
          <w:p w14:paraId="6D282D18" w14:textId="77777777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F2ABA" w:rsidRPr="002E4A54" w14:paraId="1E51A708" w14:textId="77777777" w:rsidTr="003E1BBC">
        <w:trPr>
          <w:trHeight w:val="305"/>
          <w:jc w:val="center"/>
        </w:trPr>
        <w:tc>
          <w:tcPr>
            <w:tcW w:w="1458" w:type="dxa"/>
          </w:tcPr>
          <w:p w14:paraId="54A06C7E" w14:textId="77777777" w:rsidR="006B0C94" w:rsidRPr="002E4A54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14:paraId="296EF6A4" w14:textId="778C7947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r w:rsidRPr="002E4A54">
              <w:rPr>
                <w:rFonts w:ascii="Calibri" w:hAnsi="Calibri"/>
                <w:sz w:val="22"/>
                <w:szCs w:val="22"/>
              </w:rPr>
              <w:t>SZÁM: 128-451-2153/2023-01</w:t>
            </w:r>
          </w:p>
          <w:p w14:paraId="43458831" w14:textId="77777777" w:rsidR="004B51C1" w:rsidRPr="002E4A54" w:rsidRDefault="004B51C1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20F8B564" w14:textId="77777777" w:rsidR="006B0C94" w:rsidRPr="002E4A54" w:rsidRDefault="006B0C94" w:rsidP="00874C11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768" w:type="dxa"/>
          </w:tcPr>
          <w:p w14:paraId="00537F92" w14:textId="75361E63" w:rsidR="006B0C94" w:rsidRPr="002E4A54" w:rsidRDefault="006B0C94" w:rsidP="00C312AA">
            <w:pPr>
              <w:tabs>
                <w:tab w:val="center" w:pos="4703"/>
                <w:tab w:val="right" w:pos="9406"/>
              </w:tabs>
              <w:rPr>
                <w:rFonts w:ascii="Calibri" w:hAnsi="Calibri" w:cs="Arial"/>
                <w:sz w:val="22"/>
                <w:szCs w:val="22"/>
              </w:rPr>
            </w:pPr>
            <w:proofErr w:type="gramStart"/>
            <w:r w:rsidRPr="002E4A54">
              <w:rPr>
                <w:rFonts w:ascii="Calibri" w:hAnsi="Calibri"/>
                <w:sz w:val="22"/>
                <w:szCs w:val="22"/>
              </w:rPr>
              <w:t>DÁTUM</w:t>
            </w:r>
            <w:proofErr w:type="gramEnd"/>
            <w:r w:rsidRPr="002E4A54">
              <w:rPr>
                <w:rFonts w:ascii="Calibri" w:hAnsi="Calibri"/>
                <w:sz w:val="22"/>
                <w:szCs w:val="22"/>
              </w:rPr>
              <w:t>: 2023. 03. 22.</w:t>
            </w:r>
          </w:p>
        </w:tc>
      </w:tr>
    </w:tbl>
    <w:p w14:paraId="3D81B114" w14:textId="58BC4068" w:rsidR="00A501AC" w:rsidRPr="002E4A54" w:rsidRDefault="00646922" w:rsidP="00E97BC6">
      <w:pPr>
        <w:spacing w:before="240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          </w:t>
      </w:r>
      <w:proofErr w:type="gramStart"/>
      <w:r w:rsidRPr="002E4A54">
        <w:rPr>
          <w:rFonts w:ascii="Calibri" w:hAnsi="Calibri"/>
          <w:sz w:val="22"/>
          <w:szCs w:val="22"/>
        </w:rPr>
        <w:t xml:space="preserve">A Vajdaság autonóm tartományi általános és középfokú oktatás és nevelés, valamint </w:t>
      </w:r>
      <w:r w:rsidR="002E4A54">
        <w:rPr>
          <w:rFonts w:ascii="Calibri" w:hAnsi="Calibri"/>
          <w:sz w:val="22"/>
          <w:szCs w:val="22"/>
        </w:rPr>
        <w:t xml:space="preserve">a </w:t>
      </w:r>
      <w:r w:rsidRPr="002E4A54">
        <w:rPr>
          <w:rFonts w:ascii="Calibri" w:hAnsi="Calibri"/>
          <w:sz w:val="22"/>
          <w:szCs w:val="22"/>
        </w:rPr>
        <w:t>diákjólét területére vonatkozó programok és projektek finanszírozás</w:t>
      </w:r>
      <w:r w:rsidR="002E4A54">
        <w:rPr>
          <w:rFonts w:ascii="Calibri" w:hAnsi="Calibri"/>
          <w:sz w:val="22"/>
          <w:szCs w:val="22"/>
        </w:rPr>
        <w:t>ára és társfinanszírozására irányuló</w:t>
      </w:r>
      <w:r w:rsidRPr="002E4A54">
        <w:rPr>
          <w:rFonts w:ascii="Calibri" w:hAnsi="Calibri"/>
          <w:sz w:val="22"/>
          <w:szCs w:val="22"/>
        </w:rPr>
        <w:t xml:space="preserve"> költségvetési eszközök odaítéléséről szóló tartományi képviselőházi rendelet (VAT Hivatalos Lapja, 14/2015. és 10/2017. szám) 2. és 5. szakasza, továbbá a Tartományi Oktatási, Jogalkotási, Közigazgatási és Nemzeti Kisebbségi </w:t>
      </w:r>
      <w:r w:rsidR="002E4A54">
        <w:rPr>
          <w:rFonts w:ascii="Calibri" w:hAnsi="Calibri"/>
          <w:sz w:val="22"/>
          <w:szCs w:val="22"/>
        </w:rPr>
        <w:t>–</w:t>
      </w:r>
      <w:r w:rsidRPr="002E4A54">
        <w:rPr>
          <w:rFonts w:ascii="Calibri" w:hAnsi="Calibri"/>
          <w:sz w:val="22"/>
          <w:szCs w:val="22"/>
        </w:rPr>
        <w:t xml:space="preserve"> Nemzeti</w:t>
      </w:r>
      <w:r w:rsidR="002E4A54">
        <w:rPr>
          <w:rFonts w:ascii="Calibri" w:hAnsi="Calibri"/>
          <w:sz w:val="22"/>
          <w:szCs w:val="22"/>
        </w:rPr>
        <w:t xml:space="preserve"> </w:t>
      </w:r>
      <w:r w:rsidRPr="002E4A54">
        <w:rPr>
          <w:rFonts w:ascii="Calibri" w:hAnsi="Calibri"/>
          <w:sz w:val="22"/>
          <w:szCs w:val="22"/>
        </w:rPr>
        <w:t>Közösségi Titkárság költségvetési eszközeinek a Vajdaság autonóm tartományi általános és középfokú oktatás és nevelés területére vonatkozó programok és projektek finanszírozására</w:t>
      </w:r>
      <w:proofErr w:type="gramEnd"/>
      <w:r w:rsidRPr="002E4A54">
        <w:rPr>
          <w:rFonts w:ascii="Calibri" w:hAnsi="Calibri"/>
          <w:sz w:val="22"/>
          <w:szCs w:val="22"/>
        </w:rPr>
        <w:t xml:space="preserve"> </w:t>
      </w:r>
      <w:proofErr w:type="gramStart"/>
      <w:r w:rsidRPr="002E4A54">
        <w:rPr>
          <w:rFonts w:ascii="Calibri" w:hAnsi="Calibri"/>
          <w:sz w:val="22"/>
          <w:szCs w:val="22"/>
        </w:rPr>
        <w:t>és</w:t>
      </w:r>
      <w:proofErr w:type="gramEnd"/>
      <w:r w:rsidRPr="002E4A54">
        <w:rPr>
          <w:rFonts w:ascii="Calibri" w:hAnsi="Calibri"/>
          <w:sz w:val="22"/>
          <w:szCs w:val="22"/>
        </w:rPr>
        <w:t xml:space="preserve"> társfinanszírozására való odaítéléséről szóló szabályzat (VAT Hivatalos Lapja, 7/2023. szám) 3. szakasza alapján, figyelemmel a Vajdaság Autonóm Tartomány 2023. évi költségvetéséről szóló tartományi képviselőházi rendeletre (VAT Hivatalos Lapja, 54/2022. szám) a tartományi oktatási, jogalkotási, közigazgatási és nemzeti kisebbségi </w:t>
      </w:r>
      <w:r w:rsidR="002E4A54">
        <w:rPr>
          <w:rFonts w:ascii="Calibri" w:hAnsi="Calibri"/>
          <w:sz w:val="22"/>
          <w:szCs w:val="22"/>
        </w:rPr>
        <w:t>–</w:t>
      </w:r>
      <w:r w:rsidRPr="002E4A54">
        <w:rPr>
          <w:rFonts w:ascii="Calibri" w:hAnsi="Calibri"/>
          <w:sz w:val="22"/>
          <w:szCs w:val="22"/>
        </w:rPr>
        <w:t xml:space="preserve"> nemzeti</w:t>
      </w:r>
      <w:r w:rsidR="002E4A54">
        <w:rPr>
          <w:rFonts w:ascii="Calibri" w:hAnsi="Calibri"/>
          <w:sz w:val="22"/>
          <w:szCs w:val="22"/>
        </w:rPr>
        <w:t xml:space="preserve"> </w:t>
      </w:r>
      <w:r w:rsidRPr="002E4A54">
        <w:rPr>
          <w:rFonts w:ascii="Calibri" w:hAnsi="Calibri"/>
          <w:sz w:val="22"/>
          <w:szCs w:val="22"/>
        </w:rPr>
        <w:t>közösségi titkár</w:t>
      </w:r>
      <w:r w:rsidRPr="002E4A54">
        <w:rPr>
          <w:rFonts w:ascii="Calibri" w:hAnsi="Calibri"/>
          <w:b/>
          <w:sz w:val="22"/>
          <w:szCs w:val="22"/>
        </w:rPr>
        <w:t xml:space="preserve"> </w:t>
      </w:r>
    </w:p>
    <w:p w14:paraId="337325F5" w14:textId="77777777" w:rsidR="00A501AC" w:rsidRPr="002E4A54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14:paraId="2820F808" w14:textId="77777777" w:rsidR="002E4A54" w:rsidRPr="002E4A54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 w:rsidRPr="002E4A54">
        <w:rPr>
          <w:rFonts w:ascii="Calibri" w:hAnsi="Calibri"/>
          <w:b/>
          <w:sz w:val="22"/>
          <w:szCs w:val="22"/>
        </w:rPr>
        <w:t xml:space="preserve">PÁLYÁZATOT </w:t>
      </w:r>
    </w:p>
    <w:p w14:paraId="6383EBBD" w14:textId="4CED16BF" w:rsidR="00C431AB" w:rsidRPr="002E4A54" w:rsidRDefault="002E4A54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hirdet</w:t>
      </w:r>
      <w:proofErr w:type="gramEnd"/>
    </w:p>
    <w:p w14:paraId="56F7934A" w14:textId="33C8CB75" w:rsidR="00C431AB" w:rsidRPr="002E4A54" w:rsidRDefault="00C431AB" w:rsidP="00DF2ABA">
      <w:pPr>
        <w:ind w:right="-18"/>
        <w:jc w:val="center"/>
        <w:outlineLvl w:val="0"/>
        <w:rPr>
          <w:rFonts w:ascii="Calibri" w:hAnsi="Calibri"/>
          <w:b/>
          <w:sz w:val="22"/>
          <w:szCs w:val="22"/>
        </w:rPr>
      </w:pPr>
      <w:r w:rsidRPr="002E4A54">
        <w:rPr>
          <w:rFonts w:ascii="Calibri" w:hAnsi="Calibri"/>
          <w:b/>
          <w:sz w:val="22"/>
          <w:szCs w:val="22"/>
        </w:rPr>
        <w:t xml:space="preserve">AZ ÁLTALÁNOS </w:t>
      </w:r>
      <w:proofErr w:type="gramStart"/>
      <w:r w:rsidRPr="002E4A54">
        <w:rPr>
          <w:rFonts w:ascii="Calibri" w:hAnsi="Calibri"/>
          <w:b/>
          <w:sz w:val="22"/>
          <w:szCs w:val="22"/>
        </w:rPr>
        <w:t>ÉS</w:t>
      </w:r>
      <w:proofErr w:type="gramEnd"/>
      <w:r w:rsidRPr="002E4A54">
        <w:rPr>
          <w:rFonts w:ascii="Calibri" w:hAnsi="Calibri"/>
          <w:b/>
          <w:sz w:val="22"/>
          <w:szCs w:val="22"/>
        </w:rPr>
        <w:t xml:space="preserve"> KÖZÉPFOKÚ OKTATÁS SZÍN</w:t>
      </w:r>
      <w:r w:rsidR="002E4A54">
        <w:rPr>
          <w:rFonts w:ascii="Calibri" w:hAnsi="Calibri"/>
          <w:b/>
          <w:sz w:val="22"/>
          <w:szCs w:val="22"/>
        </w:rPr>
        <w:t xml:space="preserve">VONALÁNAK EMELÉSÉRE IRÁNYULÓ, </w:t>
      </w:r>
      <w:r w:rsidRPr="002E4A54">
        <w:rPr>
          <w:rFonts w:ascii="Calibri" w:hAnsi="Calibri"/>
          <w:b/>
          <w:sz w:val="22"/>
          <w:szCs w:val="22"/>
        </w:rPr>
        <w:t>VAJDASÁG AUTONÓM TARTOMÁNY TERÜLETÉN MŰKÖDŐ ÁLTALÁNOS ÉS KÖZÉPISKOLÁKBAN A DIÁKOK BIZTONSÁGÁT NÉPSZERŰSÍTŐ ÉS ELŐMOZDÍTÓ PROGRAMOK ÉS PROJEKTEK 2023. ÉVI FINANSZÍROZÁSÁRA ÉS TÁRSFINANSZÍROZÁSÁRA</w:t>
      </w:r>
    </w:p>
    <w:p w14:paraId="0B7990C4" w14:textId="77777777" w:rsidR="003C63F7" w:rsidRPr="002E4A54" w:rsidRDefault="003C63F7" w:rsidP="00B13D0E">
      <w:pPr>
        <w:ind w:right="-360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41499901" w14:textId="77777777" w:rsidR="00142C4C" w:rsidRPr="002E4A54" w:rsidRDefault="00142C4C" w:rsidP="005F76AA">
      <w:pPr>
        <w:ind w:right="-360"/>
        <w:jc w:val="center"/>
        <w:rPr>
          <w:rFonts w:ascii="Calibri" w:hAnsi="Calibri"/>
          <w:b/>
          <w:sz w:val="22"/>
          <w:szCs w:val="22"/>
        </w:rPr>
      </w:pPr>
    </w:p>
    <w:p w14:paraId="3F7F8A43" w14:textId="0D6E70B8" w:rsidR="00A501AC" w:rsidRPr="002E4A54" w:rsidRDefault="002E4A54" w:rsidP="0010537C">
      <w:pPr>
        <w:ind w:right="180" w:firstLine="72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A </w:t>
      </w:r>
      <w:r w:rsidR="00A501AC" w:rsidRPr="002E4A54">
        <w:rPr>
          <w:rFonts w:ascii="Calibri" w:hAnsi="Calibri"/>
          <w:sz w:val="22"/>
          <w:szCs w:val="22"/>
        </w:rPr>
        <w:t>Tartományi Oktatási, Jogalkotási, Közigazgatási és Nemzeti Kisebbségi</w:t>
      </w:r>
      <w:r>
        <w:rPr>
          <w:rFonts w:ascii="Calibri" w:hAnsi="Calibri"/>
          <w:sz w:val="22"/>
          <w:szCs w:val="22"/>
        </w:rPr>
        <w:t xml:space="preserve"> –</w:t>
      </w:r>
      <w:r w:rsidR="00A501AC" w:rsidRPr="002E4A54">
        <w:rPr>
          <w:rFonts w:ascii="Calibri" w:hAnsi="Calibri"/>
          <w:sz w:val="22"/>
          <w:szCs w:val="22"/>
        </w:rPr>
        <w:t xml:space="preserve"> Nemzeti</w:t>
      </w:r>
      <w:r>
        <w:rPr>
          <w:rFonts w:ascii="Calibri" w:hAnsi="Calibri"/>
          <w:sz w:val="22"/>
          <w:szCs w:val="22"/>
        </w:rPr>
        <w:t xml:space="preserve"> </w:t>
      </w:r>
      <w:r w:rsidR="00A501AC" w:rsidRPr="002E4A54">
        <w:rPr>
          <w:rFonts w:ascii="Calibri" w:hAnsi="Calibri"/>
          <w:sz w:val="22"/>
          <w:szCs w:val="22"/>
        </w:rPr>
        <w:t>Közösségi Titkárság (a továbbiakban: Titkárság</w:t>
      </w:r>
      <w:r>
        <w:rPr>
          <w:rFonts w:ascii="Calibri" w:hAnsi="Calibri"/>
          <w:sz w:val="22"/>
          <w:szCs w:val="22"/>
        </w:rPr>
        <w:t>)</w:t>
      </w:r>
      <w:r w:rsidR="00A501AC" w:rsidRPr="002E4A54">
        <w:rPr>
          <w:rFonts w:ascii="Calibri" w:hAnsi="Calibri"/>
          <w:sz w:val="22"/>
          <w:szCs w:val="22"/>
        </w:rPr>
        <w:t>, a 2023. évi Pénzügyi tervvel összhangban, az általános és középfokú oktatás szí</w:t>
      </w:r>
      <w:r>
        <w:rPr>
          <w:rFonts w:ascii="Calibri" w:hAnsi="Calibri"/>
          <w:sz w:val="22"/>
          <w:szCs w:val="22"/>
        </w:rPr>
        <w:t>nvonalának emelésére irányuló,</w:t>
      </w:r>
      <w:r w:rsidR="00A501AC" w:rsidRPr="002E4A54">
        <w:rPr>
          <w:rFonts w:ascii="Calibri" w:hAnsi="Calibri"/>
          <w:sz w:val="22"/>
          <w:szCs w:val="22"/>
        </w:rPr>
        <w:t xml:space="preserve"> Vajdaság Autonóm Tartomány területén működő általános és középiskolákban a diákok biztonságát népszerűsítő és előmozdító programok és projektek finanszírozására és társfinanszírozására </w:t>
      </w:r>
      <w:r w:rsidR="00A501AC" w:rsidRPr="002E4A54">
        <w:rPr>
          <w:rFonts w:ascii="Calibri" w:hAnsi="Calibri"/>
          <w:b/>
          <w:bCs/>
          <w:sz w:val="22"/>
          <w:szCs w:val="22"/>
        </w:rPr>
        <w:t>5.000.000,00 dinárt</w:t>
      </w:r>
      <w:r>
        <w:rPr>
          <w:rFonts w:ascii="Calibri" w:hAnsi="Calibri"/>
          <w:sz w:val="22"/>
          <w:szCs w:val="22"/>
        </w:rPr>
        <w:t xml:space="preserve"> irányoz elő</w:t>
      </w:r>
      <w:r w:rsidR="00A501AC" w:rsidRPr="002E4A54">
        <w:rPr>
          <w:rFonts w:ascii="Calibri" w:hAnsi="Calibri"/>
          <w:sz w:val="22"/>
          <w:szCs w:val="22"/>
        </w:rPr>
        <w:t xml:space="preserve">, amelyből </w:t>
      </w:r>
      <w:r w:rsidR="00A501AC" w:rsidRPr="002E4A54">
        <w:rPr>
          <w:rFonts w:ascii="Calibri" w:hAnsi="Calibri"/>
          <w:b/>
          <w:bCs/>
          <w:sz w:val="22"/>
          <w:szCs w:val="22"/>
        </w:rPr>
        <w:t>3.500.000,00 dinárt az általános is</w:t>
      </w:r>
      <w:r>
        <w:rPr>
          <w:rFonts w:ascii="Calibri" w:hAnsi="Calibri"/>
          <w:b/>
          <w:bCs/>
          <w:sz w:val="22"/>
          <w:szCs w:val="22"/>
        </w:rPr>
        <w:t>kolák részére</w:t>
      </w:r>
      <w:r w:rsidR="00A501AC" w:rsidRPr="002E4A54">
        <w:rPr>
          <w:rFonts w:ascii="Calibri" w:hAnsi="Calibri"/>
          <w:b/>
          <w:bCs/>
          <w:sz w:val="22"/>
          <w:szCs w:val="22"/>
        </w:rPr>
        <w:t xml:space="preserve"> és 1.500.000,00 dinárt a középiskolák részére</w:t>
      </w:r>
      <w:r>
        <w:rPr>
          <w:rFonts w:ascii="Calibri" w:hAnsi="Calibri"/>
          <w:sz w:val="22"/>
          <w:szCs w:val="22"/>
        </w:rPr>
        <w:t xml:space="preserve"> határoz meg</w:t>
      </w:r>
      <w:r w:rsidR="00A501AC" w:rsidRPr="002E4A54">
        <w:rPr>
          <w:rFonts w:ascii="Calibri" w:hAnsi="Calibri"/>
          <w:sz w:val="22"/>
          <w:szCs w:val="22"/>
        </w:rPr>
        <w:t>.</w:t>
      </w:r>
      <w:proofErr w:type="gramEnd"/>
      <w:r w:rsidR="00A501AC" w:rsidRPr="002E4A54">
        <w:rPr>
          <w:rFonts w:ascii="Calibri" w:hAnsi="Calibri"/>
          <w:sz w:val="22"/>
          <w:szCs w:val="22"/>
        </w:rPr>
        <w:t xml:space="preserve"> </w:t>
      </w:r>
    </w:p>
    <w:p w14:paraId="3FEF5618" w14:textId="17733A3D" w:rsidR="00B13D0E" w:rsidRPr="002E4A54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Pályázati jogosultsággal a Szerb Köztársaság, az autonóm tart</w:t>
      </w:r>
      <w:r w:rsidR="002E4A54">
        <w:rPr>
          <w:rFonts w:ascii="Calibri" w:hAnsi="Calibri"/>
          <w:sz w:val="22"/>
          <w:szCs w:val="22"/>
        </w:rPr>
        <w:t>omány vagy a helyi önkormányzat</w:t>
      </w:r>
      <w:r w:rsidRPr="002E4A54">
        <w:rPr>
          <w:rFonts w:ascii="Calibri" w:hAnsi="Calibri"/>
          <w:sz w:val="22"/>
          <w:szCs w:val="22"/>
        </w:rPr>
        <w:t xml:space="preserve"> által alapított, Vajdaság Autonóm Tartomány területén működő általános és középiskolák rendelkeznek. </w:t>
      </w:r>
    </w:p>
    <w:p w14:paraId="4FEB333B" w14:textId="77777777" w:rsidR="00B13D0E" w:rsidRPr="002E4A54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</w:rPr>
      </w:pPr>
    </w:p>
    <w:p w14:paraId="6DB2CF2D" w14:textId="4AD7B297" w:rsidR="00B13D0E" w:rsidRPr="002E4A54" w:rsidRDefault="00B13D0E" w:rsidP="00B13D0E">
      <w:pPr>
        <w:ind w:right="180" w:firstLine="720"/>
        <w:jc w:val="center"/>
        <w:rPr>
          <w:rFonts w:ascii="Calibri" w:hAnsi="Calibri"/>
          <w:b/>
          <w:sz w:val="22"/>
          <w:szCs w:val="22"/>
        </w:rPr>
      </w:pPr>
      <w:r w:rsidRPr="002E4A54">
        <w:rPr>
          <w:rFonts w:ascii="Calibri" w:hAnsi="Calibri"/>
          <w:b/>
          <w:sz w:val="22"/>
          <w:szCs w:val="22"/>
        </w:rPr>
        <w:t>AZ ESZKÖZÖK RENDELTETÉSE</w:t>
      </w:r>
    </w:p>
    <w:p w14:paraId="701EF4FE" w14:textId="77777777" w:rsidR="00B13D0E" w:rsidRPr="002E4A54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7AF9F20E" w14:textId="77777777" w:rsidR="00B13D0E" w:rsidRPr="002E4A54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1AE81072" w14:textId="784076D3" w:rsidR="00A501AC" w:rsidRPr="002E4A54" w:rsidRDefault="00A501AC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feltüntetett eszközök az általános és középfokú </w:t>
      </w:r>
      <w:proofErr w:type="gramStart"/>
      <w:r w:rsidRPr="002E4A54">
        <w:rPr>
          <w:rFonts w:ascii="Calibri" w:hAnsi="Calibri"/>
          <w:sz w:val="22"/>
          <w:szCs w:val="22"/>
        </w:rPr>
        <w:t>oktatás oktatási</w:t>
      </w:r>
      <w:proofErr w:type="gramEnd"/>
      <w:r w:rsidRPr="002E4A54">
        <w:rPr>
          <w:rFonts w:ascii="Calibri" w:hAnsi="Calibri"/>
          <w:sz w:val="22"/>
          <w:szCs w:val="22"/>
        </w:rPr>
        <w:t xml:space="preserve"> - nevelési folyamata színvonalának emelésére, a Vajdaság Autonóm Tartomány területén működő általános és középiskolákban a diákok biztonságát népszerűsítő és előmozdító programok és projektek 2023. évi finanszírozására és társfinanszírozására irányulnak, éspedig:</w:t>
      </w:r>
    </w:p>
    <w:p w14:paraId="24FBBEDE" w14:textId="68D60E75" w:rsidR="00B13D0E" w:rsidRPr="002E4A54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4120D4E4" w14:textId="13105558" w:rsidR="00B13D0E" w:rsidRPr="002E4A54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olyan projektekre/programokra, amelyek a pszichoaktív anyagokkal való visszaélés elleni védelemmel, az erőszak, </w:t>
      </w:r>
      <w:r w:rsidR="002E4A54">
        <w:rPr>
          <w:rFonts w:ascii="Calibri" w:hAnsi="Calibri"/>
          <w:sz w:val="22"/>
          <w:szCs w:val="22"/>
        </w:rPr>
        <w:t xml:space="preserve">a </w:t>
      </w:r>
      <w:r w:rsidRPr="002E4A54">
        <w:rPr>
          <w:rFonts w:ascii="Calibri" w:hAnsi="Calibri"/>
          <w:sz w:val="22"/>
          <w:szCs w:val="22"/>
        </w:rPr>
        <w:t xml:space="preserve">bántalmazás és </w:t>
      </w:r>
      <w:r w:rsidR="002E4A54">
        <w:rPr>
          <w:rFonts w:ascii="Calibri" w:hAnsi="Calibri"/>
          <w:sz w:val="22"/>
          <w:szCs w:val="22"/>
        </w:rPr>
        <w:t xml:space="preserve">az </w:t>
      </w:r>
      <w:r w:rsidRPr="002E4A54">
        <w:rPr>
          <w:rFonts w:ascii="Calibri" w:hAnsi="Calibri"/>
          <w:sz w:val="22"/>
          <w:szCs w:val="22"/>
        </w:rPr>
        <w:t xml:space="preserve">elhanyagolás elleni védelemmel, valamint a </w:t>
      </w:r>
      <w:r w:rsidRPr="002E4A54">
        <w:rPr>
          <w:rFonts w:ascii="Calibri" w:hAnsi="Calibri"/>
          <w:sz w:val="22"/>
          <w:szCs w:val="22"/>
        </w:rPr>
        <w:lastRenderedPageBreak/>
        <w:t xml:space="preserve">kockázatos magatartás egyéb formáival kapcsolatos ismeretek és készségek fejlesztését befolyásolják a gyermekek és fiatalok körében, </w:t>
      </w:r>
      <w:r w:rsidR="002E4A54">
        <w:rPr>
          <w:rFonts w:ascii="Calibri" w:hAnsi="Calibri"/>
          <w:sz w:val="22"/>
          <w:szCs w:val="22"/>
        </w:rPr>
        <w:t xml:space="preserve">a </w:t>
      </w:r>
      <w:r w:rsidRPr="002E4A54">
        <w:rPr>
          <w:rFonts w:ascii="Calibri" w:hAnsi="Calibri"/>
          <w:sz w:val="22"/>
          <w:szCs w:val="22"/>
        </w:rPr>
        <w:t xml:space="preserve">gyakorlati iskolai műhelyekre és </w:t>
      </w:r>
      <w:r w:rsidR="002E4A54">
        <w:rPr>
          <w:rFonts w:ascii="Calibri" w:hAnsi="Calibri"/>
          <w:sz w:val="22"/>
          <w:szCs w:val="22"/>
        </w:rPr>
        <w:t xml:space="preserve">a </w:t>
      </w:r>
      <w:r w:rsidRPr="002E4A54">
        <w:rPr>
          <w:rFonts w:ascii="Calibri" w:hAnsi="Calibri"/>
          <w:sz w:val="22"/>
          <w:szCs w:val="22"/>
        </w:rPr>
        <w:t>külső védőhálózatokra (diákok, tanárok, szülők és a külső védőháló tagjai),</w:t>
      </w:r>
    </w:p>
    <w:p w14:paraId="2393F424" w14:textId="77777777" w:rsidR="00B13D0E" w:rsidRPr="002E4A54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olyan projektekre/programokra, amelyek hozzájárulnak a tanárok és a szülők ismereteinek és készségeinek bővítéséhez a gyermekek pszichoaktív anyagokkal való visszaéléstől való megvédése, az erőszak, a visszaélés és az elhanyagolás, valamint a kockázatos viselkedés egyéb formái elleni védelem területén, beleértve a diákok biztonsága területén lévő jó gyakorlati példák cseréjére irányuló projekteket is (szülők, tanárok és a külső védőháló),</w:t>
      </w:r>
    </w:p>
    <w:p w14:paraId="7E09BD3A" w14:textId="423689BB" w:rsidR="00B13D0E" w:rsidRPr="002E4A54" w:rsidRDefault="00B13D0E" w:rsidP="00B13D0E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olyan projektekre/programokra, amelyek hozzájárulnak a faji, nemzeti, kulturális, nyelvi, vallási, társadalmi, nemi és életkori egyenlőség, a </w:t>
      </w:r>
      <w:proofErr w:type="gramStart"/>
      <w:r w:rsidRPr="002E4A54">
        <w:rPr>
          <w:rFonts w:ascii="Calibri" w:hAnsi="Calibri"/>
          <w:sz w:val="22"/>
          <w:szCs w:val="22"/>
        </w:rPr>
        <w:t>tolerancia</w:t>
      </w:r>
      <w:proofErr w:type="gramEnd"/>
      <w:r w:rsidRPr="002E4A54">
        <w:rPr>
          <w:rFonts w:ascii="Calibri" w:hAnsi="Calibri"/>
          <w:sz w:val="22"/>
          <w:szCs w:val="22"/>
        </w:rPr>
        <w:t xml:space="preserve"> és a sokszínűség fejlesztéséhez és tiszteletben tartásához.</w:t>
      </w:r>
    </w:p>
    <w:p w14:paraId="76F5871A" w14:textId="77777777" w:rsidR="00B13D0E" w:rsidRPr="002E4A54" w:rsidRDefault="00B13D0E" w:rsidP="006210B8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71F3F81E" w14:textId="77777777" w:rsidR="00B13D0E" w:rsidRPr="002E4A54" w:rsidRDefault="00B13D0E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</w:p>
    <w:p w14:paraId="66E03525" w14:textId="512E22A5" w:rsidR="00CB0985" w:rsidRPr="002E4A54" w:rsidRDefault="00CB0985" w:rsidP="00CB0985">
      <w:pPr>
        <w:pStyle w:val="ListParagraph"/>
        <w:spacing w:before="60"/>
        <w:ind w:left="567"/>
        <w:jc w:val="center"/>
        <w:rPr>
          <w:rFonts w:ascii="Calibri" w:hAnsi="Calibri"/>
          <w:b/>
          <w:sz w:val="22"/>
          <w:szCs w:val="22"/>
        </w:rPr>
      </w:pPr>
      <w:r w:rsidRPr="002E4A54">
        <w:rPr>
          <w:rFonts w:ascii="Calibri" w:hAnsi="Calibri"/>
          <w:b/>
          <w:sz w:val="22"/>
          <w:szCs w:val="22"/>
        </w:rPr>
        <w:t>AZ ESZKÖZÖK ODAÍTÉLÉSÉNEK MÉRCÉI</w:t>
      </w:r>
    </w:p>
    <w:p w14:paraId="4263AAED" w14:textId="77777777" w:rsidR="00743022" w:rsidRPr="002E4A54" w:rsidRDefault="00743022" w:rsidP="0074302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</w:rPr>
      </w:pPr>
    </w:p>
    <w:p w14:paraId="04A121D0" w14:textId="6F4F341A" w:rsidR="00ED3999" w:rsidRPr="002E4A54" w:rsidRDefault="00ED3999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Az odaítélendő eszközök mértékének meghatározásakor a Szabályzattal összhangban a következő mércéket kell alkalmazni:</w:t>
      </w:r>
    </w:p>
    <w:p w14:paraId="4C8ECD18" w14:textId="1D5EF11B" w:rsidR="00B13D0E" w:rsidRPr="002E4A54" w:rsidRDefault="00B13D0E" w:rsidP="00ED3999">
      <w:pPr>
        <w:ind w:right="180" w:firstLine="567"/>
        <w:jc w:val="both"/>
        <w:rPr>
          <w:rFonts w:ascii="Calibri" w:hAnsi="Calibri"/>
          <w:sz w:val="22"/>
          <w:szCs w:val="22"/>
        </w:rPr>
      </w:pPr>
    </w:p>
    <w:p w14:paraId="4582A8D2" w14:textId="24D5E027" w:rsidR="00B13D0E" w:rsidRPr="002E4A54" w:rsidRDefault="000C227D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külső védőháló programtevékenységbe való bevontságának foka,</w:t>
      </w:r>
    </w:p>
    <w:p w14:paraId="40936B10" w14:textId="77777777" w:rsidR="00B13D0E" w:rsidRPr="002E4A54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programok összehangoltsága az Oktatási Minisztérium utasításaival és a diákok biztonsága területén lévő kapcsolódó stratégiákkal,</w:t>
      </w:r>
    </w:p>
    <w:p w14:paraId="5E6B9CBA" w14:textId="0054ECAC" w:rsidR="00AF6D33" w:rsidRPr="002E4A54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célcsoport (diákok és szülők) bevontsági foka, amely részére a programot/projektet szánják,</w:t>
      </w:r>
    </w:p>
    <w:p w14:paraId="40773F1C" w14:textId="77777777" w:rsidR="00AF6D33" w:rsidRPr="002E4A54" w:rsidRDefault="00AF6D33" w:rsidP="00AF6D33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nevelő-oktató munka előmozdításához hozzájáruló programok/projektek megvalósítása alkalmával szerzett eddigi tapasztalatok,</w:t>
      </w:r>
    </w:p>
    <w:p w14:paraId="76099424" w14:textId="130208B5" w:rsidR="00B13D0E" w:rsidRPr="002E4A54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az intézmény székhelye szerinti helyi </w:t>
      </w:r>
      <w:r w:rsidR="002E4A54">
        <w:rPr>
          <w:rFonts w:ascii="Calibri" w:hAnsi="Calibri"/>
          <w:sz w:val="22"/>
          <w:szCs w:val="22"/>
        </w:rPr>
        <w:t>önkormányzat fejlettségi foka</w:t>
      </w:r>
      <w:r w:rsidRPr="002E4A54">
        <w:rPr>
          <w:rFonts w:ascii="Calibri" w:hAnsi="Calibri"/>
          <w:sz w:val="22"/>
          <w:szCs w:val="22"/>
        </w:rPr>
        <w:t xml:space="preserve">, </w:t>
      </w:r>
    </w:p>
    <w:p w14:paraId="68852BE7" w14:textId="77777777" w:rsidR="00B13D0E" w:rsidRPr="002E4A54" w:rsidRDefault="00B13D0E" w:rsidP="00B13D0E">
      <w:pPr>
        <w:numPr>
          <w:ilvl w:val="0"/>
          <w:numId w:val="32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programtevékenység, illetve a projekt tekintetében más </w:t>
      </w:r>
      <w:proofErr w:type="gramStart"/>
      <w:r w:rsidRPr="002E4A54">
        <w:rPr>
          <w:rFonts w:ascii="Calibri" w:hAnsi="Calibri"/>
          <w:sz w:val="22"/>
          <w:szCs w:val="22"/>
        </w:rPr>
        <w:t>finanszírozási</w:t>
      </w:r>
      <w:proofErr w:type="gramEnd"/>
      <w:r w:rsidRPr="002E4A54">
        <w:rPr>
          <w:rFonts w:ascii="Calibri" w:hAnsi="Calibri"/>
          <w:sz w:val="22"/>
          <w:szCs w:val="22"/>
        </w:rPr>
        <w:t xml:space="preserve"> források megléte,</w:t>
      </w:r>
    </w:p>
    <w:p w14:paraId="57F21C73" w14:textId="77777777" w:rsidR="00B13D0E" w:rsidRPr="002E4A54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Vajdaság AT költségvetéséből az előző években odaítélt eszközök sikeres teljesítése a költségvetési eszközök rendeltetésszerű és törvényes felhasználásáról szóló jelentéssel és bizonyítékokkal alátámasztva, </w:t>
      </w:r>
    </w:p>
    <w:p w14:paraId="7E3A5851" w14:textId="77777777" w:rsidR="00B13D0E" w:rsidRPr="002E4A54" w:rsidRDefault="00B13D0E" w:rsidP="00B13D0E">
      <w:pPr>
        <w:numPr>
          <w:ilvl w:val="0"/>
          <w:numId w:val="32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programtevékenységek és projektek túlnyomórészt a folyó költségvetési évben való megvalósításának lehetősége.</w:t>
      </w:r>
    </w:p>
    <w:p w14:paraId="1F5B14E3" w14:textId="77777777" w:rsidR="00B13D0E" w:rsidRPr="002E4A54" w:rsidRDefault="00B13D0E" w:rsidP="00B13D0E">
      <w:pPr>
        <w:spacing w:before="60"/>
        <w:ind w:right="180" w:firstLine="567"/>
        <w:jc w:val="both"/>
        <w:rPr>
          <w:rFonts w:ascii="Calibri" w:hAnsi="Calibri"/>
          <w:sz w:val="22"/>
          <w:szCs w:val="22"/>
        </w:rPr>
      </w:pPr>
    </w:p>
    <w:p w14:paraId="6638EA8B" w14:textId="77777777" w:rsidR="002717E3" w:rsidRPr="002E4A54" w:rsidRDefault="002717E3" w:rsidP="002717E3">
      <w:pPr>
        <w:pStyle w:val="ListParagraph"/>
        <w:ind w:left="1080"/>
        <w:jc w:val="both"/>
        <w:rPr>
          <w:rFonts w:ascii="Calibri" w:hAnsi="Calibri"/>
          <w:sz w:val="22"/>
          <w:szCs w:val="22"/>
        </w:rPr>
      </w:pPr>
    </w:p>
    <w:p w14:paraId="308ABF2C" w14:textId="77777777" w:rsidR="00ED3999" w:rsidRPr="002E4A54" w:rsidRDefault="0085735E" w:rsidP="0085735E">
      <w:pPr>
        <w:jc w:val="center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b/>
          <w:sz w:val="22"/>
          <w:szCs w:val="22"/>
        </w:rPr>
        <w:t>A PÁLYÁZÁS MÓDJA</w:t>
      </w:r>
    </w:p>
    <w:p w14:paraId="55D4CB4E" w14:textId="77777777" w:rsidR="00446668" w:rsidRPr="002E4A54" w:rsidRDefault="00446668" w:rsidP="0052081C">
      <w:pPr>
        <w:ind w:right="180" w:firstLine="720"/>
        <w:jc w:val="both"/>
        <w:rPr>
          <w:rFonts w:ascii="Calibri" w:hAnsi="Calibri"/>
          <w:sz w:val="22"/>
          <w:szCs w:val="22"/>
        </w:rPr>
      </w:pPr>
    </w:p>
    <w:p w14:paraId="3766A1C6" w14:textId="078C57FD" w:rsidR="00AF6D33" w:rsidRPr="002E4A54" w:rsidRDefault="00A501AC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   A pályázati kérelmet írásban, a Titkárság honlapján közzétett egységes űrlapon kell benyújtani. </w:t>
      </w:r>
      <w:r w:rsidRPr="002E4A54">
        <w:rPr>
          <w:rFonts w:ascii="Calibri" w:hAnsi="Calibri"/>
          <w:b/>
          <w:sz w:val="22"/>
          <w:szCs w:val="22"/>
        </w:rPr>
        <w:t xml:space="preserve">Egy jogi személy legfeljebb két kérelmet nyújthat be. </w:t>
      </w:r>
      <w:r w:rsidRPr="002E4A54">
        <w:rPr>
          <w:rFonts w:ascii="Calibri" w:hAnsi="Calibri"/>
          <w:sz w:val="22"/>
          <w:szCs w:val="22"/>
        </w:rPr>
        <w:t>A pályázati kér</w:t>
      </w:r>
      <w:r w:rsidR="002E4A54">
        <w:rPr>
          <w:rFonts w:ascii="Calibri" w:hAnsi="Calibri"/>
          <w:sz w:val="22"/>
          <w:szCs w:val="22"/>
        </w:rPr>
        <w:t>elemhez az alábbi dokumentációt</w:t>
      </w:r>
      <w:r w:rsidRPr="002E4A54">
        <w:rPr>
          <w:rFonts w:ascii="Calibri" w:hAnsi="Calibri"/>
          <w:sz w:val="22"/>
          <w:szCs w:val="22"/>
        </w:rPr>
        <w:t xml:space="preserve"> kell mellékelni:</w:t>
      </w:r>
    </w:p>
    <w:p w14:paraId="77590B75" w14:textId="77777777" w:rsidR="00AF6D33" w:rsidRPr="002E4A54" w:rsidRDefault="00AF6D33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</w:p>
    <w:p w14:paraId="2E19823D" w14:textId="77777777" w:rsidR="00AF6D33" w:rsidRPr="002E4A54" w:rsidRDefault="00AF6D33" w:rsidP="00AF6D33">
      <w:pPr>
        <w:pStyle w:val="ListParagraph"/>
        <w:numPr>
          <w:ilvl w:val="0"/>
          <w:numId w:val="33"/>
        </w:numPr>
        <w:ind w:left="540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az adószámról szóló igazolás fénymásolatát, </w:t>
      </w:r>
    </w:p>
    <w:p w14:paraId="23A62605" w14:textId="77777777" w:rsidR="00AF6D33" w:rsidRPr="002E4A54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írásos nyilatkozatot, illetve bizonyítékot a Vajdaság AT költségvetéséből az előző években odaítélt eszközök sikeres megvalósításáról,</w:t>
      </w:r>
    </w:p>
    <w:p w14:paraId="380D48B6" w14:textId="77777777" w:rsidR="00AF6D33" w:rsidRPr="002E4A54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írásos nyilatkozatot, illetve bizonyítékot a programtevékenységek és projektek egyéb </w:t>
      </w:r>
      <w:proofErr w:type="gramStart"/>
      <w:r w:rsidRPr="002E4A54">
        <w:rPr>
          <w:rFonts w:ascii="Calibri" w:hAnsi="Calibri"/>
          <w:sz w:val="22"/>
          <w:szCs w:val="22"/>
        </w:rPr>
        <w:t>finanszírozási</w:t>
      </w:r>
      <w:proofErr w:type="gramEnd"/>
      <w:r w:rsidRPr="002E4A54">
        <w:rPr>
          <w:rFonts w:ascii="Calibri" w:hAnsi="Calibri"/>
          <w:sz w:val="22"/>
          <w:szCs w:val="22"/>
        </w:rPr>
        <w:t xml:space="preserve"> forrásainak meglétéről,</w:t>
      </w:r>
    </w:p>
    <w:p w14:paraId="70AB3F1D" w14:textId="74A122EF" w:rsidR="00AF6D33" w:rsidRPr="002E4A54" w:rsidRDefault="00AF6D33" w:rsidP="00AF6D33">
      <w:pPr>
        <w:numPr>
          <w:ilvl w:val="0"/>
          <w:numId w:val="33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írásos nyilatkozatot arról, hogy a programtevékenységek túlnyomórészt a folyó költségvetési évben valósulnak meg.</w:t>
      </w:r>
    </w:p>
    <w:p w14:paraId="64C61E23" w14:textId="66CFC02B" w:rsidR="00AF6D33" w:rsidRPr="002E4A54" w:rsidRDefault="00AF6D33" w:rsidP="00AF6D33">
      <w:pPr>
        <w:ind w:left="567"/>
        <w:jc w:val="both"/>
        <w:rPr>
          <w:rFonts w:ascii="Calibri" w:hAnsi="Calibri" w:cs="Arial"/>
          <w:sz w:val="22"/>
          <w:szCs w:val="22"/>
        </w:rPr>
      </w:pPr>
    </w:p>
    <w:p w14:paraId="04BD2FF2" w14:textId="089EF661" w:rsidR="00336F4A" w:rsidRPr="002E4A54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Titkárság fenntartja jogát, hogy szükség szerint a kérelmezőtől kiegészítő dokumentációt vagy </w:t>
      </w:r>
      <w:r w:rsidR="002E4A54" w:rsidRPr="002E4A54">
        <w:rPr>
          <w:rFonts w:ascii="Calibri" w:hAnsi="Calibri"/>
          <w:sz w:val="22"/>
          <w:szCs w:val="22"/>
        </w:rPr>
        <w:t>tájékoztatást</w:t>
      </w:r>
      <w:r w:rsidRPr="002E4A54">
        <w:rPr>
          <w:rFonts w:ascii="Calibri" w:hAnsi="Calibri"/>
          <w:sz w:val="22"/>
          <w:szCs w:val="22"/>
        </w:rPr>
        <w:t xml:space="preserve"> kérjen. </w:t>
      </w:r>
    </w:p>
    <w:p w14:paraId="68E50E35" w14:textId="77777777" w:rsidR="00336F4A" w:rsidRPr="002E4A54" w:rsidRDefault="00336F4A" w:rsidP="00336F4A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Ha a kérelmet az arra felhatalmazott személy írja alá, abban az esetben szükséges mellékelni a megfelelő meghatalmazást.</w:t>
      </w:r>
    </w:p>
    <w:p w14:paraId="4B0C12CE" w14:textId="77777777" w:rsidR="00336F4A" w:rsidRPr="002E4A54" w:rsidRDefault="00336F4A" w:rsidP="00AF6D33">
      <w:pPr>
        <w:ind w:left="567"/>
        <w:jc w:val="both"/>
        <w:rPr>
          <w:rFonts w:ascii="Calibri" w:hAnsi="Calibri" w:cs="Arial"/>
          <w:sz w:val="22"/>
          <w:szCs w:val="22"/>
        </w:rPr>
      </w:pPr>
    </w:p>
    <w:p w14:paraId="56CC1C19" w14:textId="76F8A1CF" w:rsidR="008E2929" w:rsidRPr="002E4A54" w:rsidRDefault="008E2929" w:rsidP="00AF6D33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felhasználóknak odaítélendő eszközökről a beérkezett kérelmeket vizsgáló Pályázati Bizottság javaslata alapján a tartományi titkár dönt. </w:t>
      </w:r>
    </w:p>
    <w:p w14:paraId="09CBF6A2" w14:textId="73F59386" w:rsidR="00B70DDC" w:rsidRPr="002E4A54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7E8BEE25" w14:textId="2F7DC4F6" w:rsidR="006178D9" w:rsidRPr="002E4A54" w:rsidRDefault="006178D9" w:rsidP="006178D9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</w:rPr>
      </w:pPr>
      <w:proofErr w:type="gramStart"/>
      <w:r w:rsidRPr="002E4A54">
        <w:rPr>
          <w:rFonts w:ascii="Calibri" w:hAnsi="Calibri"/>
          <w:sz w:val="22"/>
          <w:szCs w:val="22"/>
        </w:rPr>
        <w:t>A Bizottság nem veszi figyelembe: a hiányos kérelmeket, a késve érkező kérelmeket, a nem engedélyezett kérelmeket (illetéktelen személyek és a pályázatban nem előirányozott alanyok által benyújtott kérelmeket), azokat a kérelmeket, amelyek a pályázatban előirányozott rendeltetésekre nem vonatkoznak, a projekt megvalósításával kapcsolatos felszerelés beszerzésére vagy karbantartására vonatkozó kérelmeket,</w:t>
      </w:r>
      <w:r w:rsidR="005C3CD6">
        <w:rPr>
          <w:rFonts w:ascii="Calibri" w:hAnsi="Calibri"/>
          <w:sz w:val="22"/>
          <w:szCs w:val="22"/>
        </w:rPr>
        <w:t xml:space="preserve"> </w:t>
      </w:r>
      <w:r w:rsidRPr="002E4A54">
        <w:rPr>
          <w:rFonts w:ascii="Calibri" w:hAnsi="Calibri"/>
          <w:sz w:val="22"/>
          <w:szCs w:val="22"/>
        </w:rPr>
        <w:t>azon felhasználók kérelmeit, akik pénzügyi és leíró jelentéssel nem igazolták az előző időszakban odaítélt eszközöket, azon felhasználók kérelmeit, akik az előző pályázati időszakban megvalósított</w:t>
      </w:r>
      <w:proofErr w:type="gramEnd"/>
      <w:r w:rsidRPr="002E4A54">
        <w:rPr>
          <w:rFonts w:ascii="Calibri" w:hAnsi="Calibri"/>
          <w:sz w:val="22"/>
          <w:szCs w:val="22"/>
        </w:rPr>
        <w:t xml:space="preserve"> </w:t>
      </w:r>
      <w:proofErr w:type="gramStart"/>
      <w:r w:rsidRPr="002E4A54">
        <w:rPr>
          <w:rFonts w:ascii="Calibri" w:hAnsi="Calibri"/>
          <w:sz w:val="22"/>
          <w:szCs w:val="22"/>
        </w:rPr>
        <w:t>programokról</w:t>
      </w:r>
      <w:proofErr w:type="gramEnd"/>
      <w:r w:rsidRPr="002E4A54">
        <w:rPr>
          <w:rFonts w:ascii="Calibri" w:hAnsi="Calibri"/>
          <w:sz w:val="22"/>
          <w:szCs w:val="22"/>
        </w:rPr>
        <w:t>/projektekről szóló leíró/pénzügyi jelentést az előirányozott határidőben nem küldték meg, azokat a programokat, illetve projekteket, amelyeket a költségvetési év folyamán túlnyomórészt nem lehet megvalósítani.</w:t>
      </w:r>
    </w:p>
    <w:p w14:paraId="7EF6F8DD" w14:textId="77777777" w:rsidR="00B70DDC" w:rsidRPr="002E4A54" w:rsidRDefault="00B70DDC" w:rsidP="0085735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63B61F8F" w14:textId="77777777" w:rsidR="00A501AC" w:rsidRPr="002E4A54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A pályázat eredményeit a Titkárság honlapján közzé kell tenni.</w:t>
      </w:r>
    </w:p>
    <w:p w14:paraId="5CE592BB" w14:textId="77777777" w:rsidR="00A501AC" w:rsidRPr="002E4A54" w:rsidRDefault="00A501AC" w:rsidP="0010537C">
      <w:pPr>
        <w:jc w:val="both"/>
        <w:rPr>
          <w:rFonts w:ascii="Calibri" w:hAnsi="Calibri"/>
          <w:sz w:val="22"/>
          <w:szCs w:val="22"/>
        </w:rPr>
      </w:pPr>
    </w:p>
    <w:p w14:paraId="6E3AEB58" w14:textId="43FEAD99" w:rsidR="00A501AC" w:rsidRPr="002E4A54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2E4A54">
        <w:rPr>
          <w:rFonts w:ascii="Calibri" w:hAnsi="Calibri"/>
          <w:b/>
          <w:sz w:val="22"/>
          <w:szCs w:val="22"/>
          <w:u w:val="single"/>
        </w:rPr>
        <w:t>A pályázati kérelmek benyújtási határideje 2023. 04. 07.</w:t>
      </w:r>
    </w:p>
    <w:p w14:paraId="65637FE2" w14:textId="77777777" w:rsidR="00A501AC" w:rsidRPr="002E4A54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352DF71D" w14:textId="77777777" w:rsidR="00A501AC" w:rsidRPr="002E4A54" w:rsidRDefault="00E26402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pályázatokat a szükséges dokumentációval az alábbi címre kell benyújtani:  </w:t>
      </w:r>
    </w:p>
    <w:p w14:paraId="3F6DF099" w14:textId="77777777" w:rsidR="004A1DE5" w:rsidRPr="002E4A54" w:rsidRDefault="004A1DE5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14:paraId="77B3E7FC" w14:textId="77777777" w:rsidR="00A501AC" w:rsidRPr="002E4A54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Tartományi Oktatási, Jogalkotási, Közigazgatási</w:t>
      </w:r>
    </w:p>
    <w:p w14:paraId="4BD7968C" w14:textId="0FC59B83" w:rsidR="00B3293F" w:rsidRPr="002E4A54" w:rsidRDefault="00A501AC" w:rsidP="004A1DE5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proofErr w:type="gramStart"/>
      <w:r w:rsidRPr="002E4A54">
        <w:rPr>
          <w:rFonts w:ascii="Calibri" w:hAnsi="Calibri"/>
          <w:sz w:val="22"/>
          <w:szCs w:val="22"/>
        </w:rPr>
        <w:t>és</w:t>
      </w:r>
      <w:proofErr w:type="gramEnd"/>
      <w:r w:rsidRPr="002E4A54">
        <w:rPr>
          <w:rFonts w:ascii="Calibri" w:hAnsi="Calibri"/>
          <w:sz w:val="22"/>
          <w:szCs w:val="22"/>
        </w:rPr>
        <w:t xml:space="preserve"> Nemzeti Kisebbségi </w:t>
      </w:r>
      <w:r w:rsidR="005C3CD6">
        <w:rPr>
          <w:rFonts w:ascii="Calibri" w:hAnsi="Calibri"/>
          <w:sz w:val="22"/>
          <w:szCs w:val="22"/>
        </w:rPr>
        <w:t>–</w:t>
      </w:r>
      <w:r w:rsidRPr="002E4A54">
        <w:rPr>
          <w:rFonts w:ascii="Calibri" w:hAnsi="Calibri"/>
          <w:sz w:val="22"/>
          <w:szCs w:val="22"/>
        </w:rPr>
        <w:t xml:space="preserve"> Nemzeti</w:t>
      </w:r>
      <w:r w:rsidR="005C3CD6">
        <w:rPr>
          <w:rFonts w:ascii="Calibri" w:hAnsi="Calibri"/>
          <w:sz w:val="22"/>
          <w:szCs w:val="22"/>
        </w:rPr>
        <w:t xml:space="preserve"> </w:t>
      </w:r>
      <w:r w:rsidRPr="002E4A54">
        <w:rPr>
          <w:rFonts w:ascii="Calibri" w:hAnsi="Calibri"/>
          <w:sz w:val="22"/>
          <w:szCs w:val="22"/>
        </w:rPr>
        <w:t>Közösségi Titkárság</w:t>
      </w:r>
    </w:p>
    <w:p w14:paraId="2555E068" w14:textId="1F9688C1" w:rsidR="00897551" w:rsidRPr="005C3CD6" w:rsidRDefault="00A501AC" w:rsidP="00897551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3CD6">
        <w:rPr>
          <w:rFonts w:asciiTheme="minorHAnsi" w:hAnsiTheme="minorHAnsi"/>
          <w:sz w:val="22"/>
          <w:szCs w:val="22"/>
        </w:rPr>
        <w:t>Pályázat az általános és középfokú oktatás szí</w:t>
      </w:r>
      <w:r w:rsidR="005C3CD6">
        <w:rPr>
          <w:rFonts w:asciiTheme="minorHAnsi" w:hAnsiTheme="minorHAnsi"/>
          <w:sz w:val="22"/>
          <w:szCs w:val="22"/>
        </w:rPr>
        <w:t>nvonalának emelésére irányuló,</w:t>
      </w:r>
      <w:r w:rsidRPr="005C3CD6">
        <w:rPr>
          <w:rFonts w:asciiTheme="minorHAnsi" w:hAnsiTheme="minorHAnsi"/>
          <w:sz w:val="22"/>
          <w:szCs w:val="22"/>
        </w:rPr>
        <w:t xml:space="preserve"> Vajdaság Autonóm Tartomány területén működő általános és középiskolákban a diákok biztonságát népszerűsítő és előmozdító programok és projektek 2023. évi </w:t>
      </w:r>
      <w:proofErr w:type="gramStart"/>
      <w:r w:rsidRPr="005C3CD6">
        <w:rPr>
          <w:rFonts w:asciiTheme="minorHAnsi" w:hAnsiTheme="minorHAnsi"/>
          <w:sz w:val="22"/>
          <w:szCs w:val="22"/>
        </w:rPr>
        <w:t>finanszírozására</w:t>
      </w:r>
      <w:proofErr w:type="gramEnd"/>
      <w:r w:rsidRPr="005C3CD6">
        <w:rPr>
          <w:rFonts w:asciiTheme="minorHAnsi" w:hAnsiTheme="minorHAnsi"/>
          <w:sz w:val="22"/>
          <w:szCs w:val="22"/>
        </w:rPr>
        <w:t xml:space="preserve"> és társfinanszírozására</w:t>
      </w:r>
    </w:p>
    <w:p w14:paraId="1C98E6F1" w14:textId="24211CAD" w:rsidR="00A501AC" w:rsidRPr="002E4A54" w:rsidRDefault="00A501AC" w:rsidP="00897551">
      <w:pPr>
        <w:ind w:left="-180" w:right="180"/>
        <w:jc w:val="center"/>
        <w:outlineLvl w:val="0"/>
        <w:rPr>
          <w:rFonts w:ascii="Calibri" w:hAnsi="Calibri"/>
          <w:sz w:val="22"/>
          <w:szCs w:val="22"/>
        </w:rPr>
      </w:pPr>
      <w:proofErr w:type="spellStart"/>
      <w:r w:rsidRPr="002E4A54">
        <w:rPr>
          <w:rFonts w:ascii="Calibri" w:hAnsi="Calibri"/>
          <w:sz w:val="22"/>
          <w:szCs w:val="22"/>
        </w:rPr>
        <w:t>Mihajlo</w:t>
      </w:r>
      <w:proofErr w:type="spellEnd"/>
      <w:r w:rsidRPr="002E4A54">
        <w:rPr>
          <w:rFonts w:ascii="Calibri" w:hAnsi="Calibri"/>
          <w:sz w:val="22"/>
          <w:szCs w:val="22"/>
        </w:rPr>
        <w:t xml:space="preserve"> </w:t>
      </w:r>
      <w:proofErr w:type="spellStart"/>
      <w:r w:rsidRPr="002E4A54">
        <w:rPr>
          <w:rFonts w:ascii="Calibri" w:hAnsi="Calibri"/>
          <w:sz w:val="22"/>
          <w:szCs w:val="22"/>
        </w:rPr>
        <w:t>Pupin</w:t>
      </w:r>
      <w:proofErr w:type="spellEnd"/>
      <w:r w:rsidRPr="002E4A54">
        <w:rPr>
          <w:rFonts w:ascii="Calibri" w:hAnsi="Calibri"/>
          <w:sz w:val="22"/>
          <w:szCs w:val="22"/>
        </w:rPr>
        <w:t xml:space="preserve"> sugárút 16. szám,</w:t>
      </w:r>
    </w:p>
    <w:p w14:paraId="30E073DC" w14:textId="6D091526" w:rsidR="00A501AC" w:rsidRDefault="00A501AC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>21000 Újvidék</w:t>
      </w:r>
    </w:p>
    <w:p w14:paraId="0DC07263" w14:textId="3D97241F" w:rsidR="005C3CD6" w:rsidRPr="005C3CD6" w:rsidRDefault="005C3CD6" w:rsidP="005C3CD6">
      <w:pPr>
        <w:ind w:left="-180" w:right="180"/>
        <w:jc w:val="center"/>
        <w:rPr>
          <w:rFonts w:ascii="Calibri" w:hAnsi="Calibri"/>
          <w:i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</w:rPr>
        <w:t>(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Pokrajinski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sekretarijat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za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obrazovanje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,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propise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,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upravu</w:t>
      </w:r>
      <w:proofErr w:type="spellEnd"/>
    </w:p>
    <w:p w14:paraId="2AF0EE6C" w14:textId="39019EFA" w:rsidR="005C3CD6" w:rsidRPr="005C3CD6" w:rsidRDefault="005C3CD6" w:rsidP="005C3CD6">
      <w:pPr>
        <w:ind w:left="-180" w:right="180"/>
        <w:jc w:val="center"/>
        <w:rPr>
          <w:rFonts w:ascii="Calibri" w:hAnsi="Calibri"/>
          <w:i/>
          <w:sz w:val="22"/>
          <w:szCs w:val="22"/>
          <w:lang w:val="sr-Cyrl-CS"/>
        </w:rPr>
      </w:pPr>
      <w:r w:rsidRPr="005C3CD6">
        <w:rPr>
          <w:rFonts w:ascii="Calibri" w:hAnsi="Calibri"/>
          <w:i/>
          <w:sz w:val="22"/>
          <w:szCs w:val="22"/>
          <w:lang w:val="sr-Cyrl-CS"/>
        </w:rPr>
        <w:t xml:space="preserve">i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nacionalne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manjine-nacionalne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zajednice</w:t>
      </w:r>
      <w:proofErr w:type="spellEnd"/>
    </w:p>
    <w:p w14:paraId="77F77062" w14:textId="3840306C" w:rsidR="005C3CD6" w:rsidRPr="005C3CD6" w:rsidRDefault="005C3CD6" w:rsidP="005C3CD6">
      <w:pPr>
        <w:ind w:left="-180" w:right="180"/>
        <w:jc w:val="center"/>
        <w:rPr>
          <w:rFonts w:ascii="Calibri" w:hAnsi="Calibri"/>
          <w:b/>
          <w:i/>
          <w:sz w:val="22"/>
          <w:szCs w:val="22"/>
          <w:lang w:val="sr-Cyrl-CS"/>
        </w:rPr>
      </w:pPr>
      <w:r w:rsidRPr="005C3CD6">
        <w:rPr>
          <w:rFonts w:ascii="Calibri" w:hAnsi="Calibri"/>
          <w:i/>
          <w:sz w:val="22"/>
          <w:szCs w:val="22"/>
          <w:lang w:val="sr-Cyrl-CS"/>
        </w:rPr>
        <w:t>„</w:t>
      </w:r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Konkurs za finansiranje i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Latn-CS"/>
        </w:rPr>
        <w:t>sufinansiranje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programa i projekata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za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podizanje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kvaliteta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osnovnog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i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srednjeg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obrazovanja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RS"/>
        </w:rPr>
        <w:t xml:space="preserve"> -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Latn-CS"/>
        </w:rPr>
        <w:t>promovi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sanje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i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Latn-CS"/>
        </w:rPr>
        <w:t>unapređe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nje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bezbednost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i</w:t>
      </w:r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učenika u osnovnim i srednjim školama na teritorij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i</w:t>
      </w:r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AP</w:t>
      </w:r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V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Latn-CS"/>
        </w:rPr>
        <w:t>ojvodine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</w:t>
      </w:r>
      <w:r w:rsidRPr="005C3CD6">
        <w:rPr>
          <w:rFonts w:ascii="Calibri" w:hAnsi="Calibri"/>
          <w:b/>
          <w:i/>
          <w:sz w:val="22"/>
          <w:szCs w:val="22"/>
          <w:lang w:val="sr-Cyrl-RS"/>
        </w:rPr>
        <w:t>u</w:t>
      </w:r>
      <w:r w:rsidRPr="005C3CD6">
        <w:rPr>
          <w:rFonts w:ascii="Calibri" w:hAnsi="Calibri"/>
          <w:b/>
          <w:i/>
          <w:sz w:val="22"/>
          <w:szCs w:val="22"/>
          <w:lang w:val="sr-Latn-CS"/>
        </w:rPr>
        <w:t xml:space="preserve"> 2023. </w:t>
      </w:r>
      <w:proofErr w:type="spellStart"/>
      <w:r w:rsidRPr="005C3CD6">
        <w:rPr>
          <w:rFonts w:ascii="Calibri" w:hAnsi="Calibri"/>
          <w:b/>
          <w:i/>
          <w:sz w:val="22"/>
          <w:szCs w:val="22"/>
          <w:lang w:val="sr-Cyrl-RS"/>
        </w:rPr>
        <w:t>godini</w:t>
      </w:r>
      <w:proofErr w:type="spellEnd"/>
      <w:r w:rsidRPr="005C3CD6">
        <w:rPr>
          <w:rFonts w:ascii="Calibri" w:hAnsi="Calibri"/>
          <w:b/>
          <w:i/>
          <w:sz w:val="22"/>
          <w:szCs w:val="22"/>
          <w:lang w:val="sr-Cyrl-CS"/>
        </w:rPr>
        <w:t>“</w:t>
      </w:r>
    </w:p>
    <w:p w14:paraId="6A9F66EB" w14:textId="42D983BC" w:rsidR="005C3CD6" w:rsidRPr="005C3CD6" w:rsidRDefault="005C3CD6" w:rsidP="005C3CD6">
      <w:pPr>
        <w:ind w:left="-180" w:right="180"/>
        <w:jc w:val="center"/>
        <w:rPr>
          <w:rFonts w:ascii="Calibri" w:hAnsi="Calibri"/>
          <w:i/>
          <w:sz w:val="22"/>
          <w:szCs w:val="22"/>
          <w:lang w:val="sr-Cyrl-CS"/>
        </w:rPr>
      </w:pP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Bulevar</w:t>
      </w:r>
      <w:proofErr w:type="spellEnd"/>
      <w:r w:rsidRPr="005C3CD6">
        <w:rPr>
          <w:rFonts w:ascii="Calibri" w:hAnsi="Calibri"/>
          <w:i/>
          <w:sz w:val="22"/>
          <w:szCs w:val="22"/>
          <w:lang w:val="ru-RU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Mihajla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Pupina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16</w:t>
      </w:r>
    </w:p>
    <w:p w14:paraId="003C4760" w14:textId="6A5198B8" w:rsidR="005C3CD6" w:rsidRPr="005C3CD6" w:rsidRDefault="005C3CD6" w:rsidP="005C3CD6">
      <w:pPr>
        <w:ind w:left="-180" w:right="180"/>
        <w:jc w:val="center"/>
        <w:rPr>
          <w:rFonts w:ascii="Calibri" w:hAnsi="Calibri"/>
          <w:sz w:val="22"/>
          <w:szCs w:val="22"/>
        </w:rPr>
      </w:pPr>
      <w:r w:rsidRPr="005C3CD6">
        <w:rPr>
          <w:rFonts w:ascii="Calibri" w:hAnsi="Calibri"/>
          <w:i/>
          <w:sz w:val="22"/>
          <w:szCs w:val="22"/>
          <w:lang w:val="ru-RU"/>
        </w:rPr>
        <w:t xml:space="preserve">21000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Novi</w:t>
      </w:r>
      <w:proofErr w:type="spellEnd"/>
      <w:r w:rsidRPr="005C3CD6">
        <w:rPr>
          <w:rFonts w:ascii="Calibri" w:hAnsi="Calibri"/>
          <w:i/>
          <w:sz w:val="22"/>
          <w:szCs w:val="22"/>
          <w:lang w:val="sr-Cyrl-CS"/>
        </w:rPr>
        <w:t xml:space="preserve"> </w:t>
      </w:r>
      <w:proofErr w:type="spellStart"/>
      <w:r w:rsidRPr="005C3CD6">
        <w:rPr>
          <w:rFonts w:ascii="Calibri" w:hAnsi="Calibri"/>
          <w:i/>
          <w:sz w:val="22"/>
          <w:szCs w:val="22"/>
          <w:lang w:val="sr-Cyrl-CS"/>
        </w:rPr>
        <w:t>Sad</w:t>
      </w:r>
      <w:proofErr w:type="spellEnd"/>
      <w:r>
        <w:rPr>
          <w:rFonts w:ascii="Calibri" w:hAnsi="Calibri"/>
          <w:sz w:val="22"/>
          <w:szCs w:val="22"/>
        </w:rPr>
        <w:t>)</w:t>
      </w:r>
    </w:p>
    <w:p w14:paraId="107D461F" w14:textId="77777777" w:rsidR="005C3CD6" w:rsidRPr="002E4A54" w:rsidRDefault="005C3CD6" w:rsidP="004A1DE5">
      <w:pPr>
        <w:ind w:left="-180" w:right="180"/>
        <w:jc w:val="center"/>
        <w:rPr>
          <w:rFonts w:ascii="Calibri" w:hAnsi="Calibri"/>
          <w:sz w:val="22"/>
          <w:szCs w:val="22"/>
        </w:rPr>
      </w:pPr>
    </w:p>
    <w:p w14:paraId="2DC97D43" w14:textId="77777777" w:rsidR="00A501AC" w:rsidRPr="002E4A54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</w:rPr>
      </w:pPr>
    </w:p>
    <w:p w14:paraId="25D751FA" w14:textId="7E89D60E" w:rsidR="00A501AC" w:rsidRPr="002E4A54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2E4A54">
        <w:rPr>
          <w:rFonts w:ascii="Calibri" w:hAnsi="Calibri"/>
          <w:sz w:val="22"/>
          <w:szCs w:val="22"/>
        </w:rPr>
        <w:t xml:space="preserve">A kérdőív űrlapja </w:t>
      </w:r>
      <w:r w:rsidRPr="002E4A54">
        <w:rPr>
          <w:rFonts w:ascii="Calibri" w:hAnsi="Calibri"/>
          <w:b/>
          <w:bCs/>
          <w:sz w:val="22"/>
          <w:szCs w:val="22"/>
        </w:rPr>
        <w:t xml:space="preserve">2023. március 22-től </w:t>
      </w:r>
      <w:r w:rsidRPr="002E4A54">
        <w:rPr>
          <w:rFonts w:ascii="Calibri" w:hAnsi="Calibri"/>
          <w:sz w:val="22"/>
          <w:szCs w:val="22"/>
        </w:rPr>
        <w:t xml:space="preserve">letölthető a Tartományi Oktatási, Jogalkotási, Közigazgatási és Nemzeti Kisebbségi </w:t>
      </w:r>
      <w:r w:rsidR="005C3CD6">
        <w:rPr>
          <w:rFonts w:ascii="Calibri" w:hAnsi="Calibri"/>
          <w:sz w:val="22"/>
          <w:szCs w:val="22"/>
        </w:rPr>
        <w:t>–</w:t>
      </w:r>
      <w:r w:rsidRPr="002E4A54">
        <w:rPr>
          <w:rFonts w:ascii="Calibri" w:hAnsi="Calibri"/>
          <w:sz w:val="22"/>
          <w:szCs w:val="22"/>
        </w:rPr>
        <w:t xml:space="preserve"> Nemzeti</w:t>
      </w:r>
      <w:r w:rsidR="005C3CD6">
        <w:rPr>
          <w:rFonts w:ascii="Calibri" w:hAnsi="Calibri"/>
          <w:sz w:val="22"/>
          <w:szCs w:val="22"/>
        </w:rPr>
        <w:t xml:space="preserve"> </w:t>
      </w:r>
      <w:r w:rsidRPr="002E4A54">
        <w:rPr>
          <w:rFonts w:ascii="Calibri" w:hAnsi="Calibri"/>
          <w:sz w:val="22"/>
          <w:szCs w:val="22"/>
        </w:rPr>
        <w:t xml:space="preserve">Közösségi Titkárság hivatalos honlapjáról: </w:t>
      </w:r>
      <w:hyperlink r:id="rId8" w:history="1">
        <w:r w:rsidRPr="002E4A54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2E4A54">
        <w:rPr>
          <w:rFonts w:ascii="Calibri" w:hAnsi="Calibri"/>
          <w:b/>
          <w:sz w:val="22"/>
          <w:szCs w:val="22"/>
          <w:u w:val="single"/>
        </w:rPr>
        <w:t>.</w:t>
      </w:r>
    </w:p>
    <w:p w14:paraId="5070A71B" w14:textId="77777777" w:rsidR="00142C4C" w:rsidRPr="002E4A54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0CC794FF" w14:textId="04FCB5B5" w:rsidR="00A501AC" w:rsidRPr="002E4A54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A pályázattal kapcsolatos </w:t>
      </w:r>
      <w:proofErr w:type="gramStart"/>
      <w:r w:rsidRPr="002E4A54">
        <w:rPr>
          <w:rFonts w:ascii="Calibri" w:hAnsi="Calibri"/>
          <w:sz w:val="22"/>
          <w:szCs w:val="22"/>
        </w:rPr>
        <w:t>információk</w:t>
      </w:r>
      <w:proofErr w:type="gramEnd"/>
      <w:r w:rsidRPr="002E4A54">
        <w:rPr>
          <w:rFonts w:ascii="Calibri" w:hAnsi="Calibri"/>
          <w:sz w:val="22"/>
          <w:szCs w:val="22"/>
        </w:rPr>
        <w:t xml:space="preserve"> az alábbi telefonszámokon kaphatók: 021/  487  4502.</w:t>
      </w:r>
    </w:p>
    <w:p w14:paraId="5FABBA79" w14:textId="77777777" w:rsidR="00A501AC" w:rsidRPr="002E4A54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1E55EF43" w14:textId="77777777" w:rsidR="00BF7688" w:rsidRPr="002E4A54" w:rsidRDefault="00BF7688" w:rsidP="0010537C">
      <w:pPr>
        <w:ind w:right="180"/>
        <w:jc w:val="both"/>
        <w:rPr>
          <w:rFonts w:ascii="Calibri" w:hAnsi="Calibri"/>
          <w:sz w:val="22"/>
          <w:szCs w:val="22"/>
        </w:rPr>
      </w:pPr>
    </w:p>
    <w:p w14:paraId="503B21B4" w14:textId="25DA426B" w:rsidR="005C3CD6" w:rsidRPr="005C3CD6" w:rsidRDefault="005C3CD6" w:rsidP="005C3CD6">
      <w:pPr>
        <w:ind w:right="743"/>
        <w:jc w:val="right"/>
        <w:rPr>
          <w:rFonts w:ascii="Calibri" w:hAnsi="Calibri"/>
          <w:sz w:val="22"/>
          <w:szCs w:val="22"/>
        </w:rPr>
      </w:pPr>
      <w:r w:rsidRPr="005C3CD6">
        <w:rPr>
          <w:rFonts w:ascii="Calibri" w:hAnsi="Calibri"/>
          <w:sz w:val="22"/>
          <w:szCs w:val="22"/>
        </w:rPr>
        <w:t>Szakállas Zsolt</w:t>
      </w:r>
      <w:r>
        <w:rPr>
          <w:rFonts w:ascii="Calibri" w:hAnsi="Calibri"/>
          <w:sz w:val="22"/>
          <w:szCs w:val="22"/>
        </w:rPr>
        <w:t>,</w:t>
      </w:r>
    </w:p>
    <w:p w14:paraId="20A1B896" w14:textId="0CB78A9E" w:rsidR="00595779" w:rsidRPr="002E4A54" w:rsidRDefault="00A501AC" w:rsidP="005C3CD6">
      <w:pPr>
        <w:ind w:right="743"/>
        <w:jc w:val="right"/>
        <w:rPr>
          <w:rFonts w:asciiTheme="minorHAnsi" w:hAnsiTheme="minorHAnsi" w:cstheme="minorHAnsi"/>
          <w:sz w:val="22"/>
          <w:szCs w:val="22"/>
        </w:rPr>
      </w:pPr>
      <w:r w:rsidRPr="002E4A54">
        <w:rPr>
          <w:rFonts w:asciiTheme="minorHAnsi" w:hAnsiTheme="minorHAnsi"/>
          <w:sz w:val="22"/>
          <w:szCs w:val="22"/>
        </w:rPr>
        <w:t>TARTOMÁNYI TITKÁR</w:t>
      </w:r>
    </w:p>
    <w:p w14:paraId="76FD5B47" w14:textId="4132D212" w:rsidR="00A501AC" w:rsidRPr="002E4A54" w:rsidRDefault="00FD7522" w:rsidP="00595779">
      <w:pPr>
        <w:ind w:right="180"/>
        <w:jc w:val="both"/>
        <w:outlineLvl w:val="0"/>
        <w:rPr>
          <w:rFonts w:ascii="Calibri" w:hAnsi="Calibri"/>
          <w:sz w:val="22"/>
          <w:szCs w:val="22"/>
        </w:rPr>
      </w:pPr>
      <w:r w:rsidRPr="002E4A54">
        <w:rPr>
          <w:rFonts w:ascii="Calibri" w:hAnsi="Calibri"/>
          <w:sz w:val="22"/>
          <w:szCs w:val="22"/>
        </w:rPr>
        <w:t xml:space="preserve"> </w:t>
      </w:r>
      <w:bookmarkStart w:id="0" w:name="_GoBack"/>
      <w:bookmarkEnd w:id="0"/>
    </w:p>
    <w:sectPr w:rsidR="00A501AC" w:rsidRPr="002E4A54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1A1209"/>
    <w:multiLevelType w:val="hybridMultilevel"/>
    <w:tmpl w:val="EBB06854"/>
    <w:lvl w:ilvl="0" w:tplc="D68C5CB4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C0FC2"/>
    <w:multiLevelType w:val="hybridMultilevel"/>
    <w:tmpl w:val="D506E022"/>
    <w:lvl w:ilvl="0" w:tplc="18FE470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3589F"/>
    <w:multiLevelType w:val="multilevel"/>
    <w:tmpl w:val="3C4A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21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D077C1"/>
    <w:multiLevelType w:val="hybridMultilevel"/>
    <w:tmpl w:val="30E40AC2"/>
    <w:lvl w:ilvl="0" w:tplc="79D4526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320BE"/>
    <w:multiLevelType w:val="hybridMultilevel"/>
    <w:tmpl w:val="71D8FE8E"/>
    <w:lvl w:ilvl="0" w:tplc="D31A20E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1F497D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74C7D"/>
    <w:multiLevelType w:val="hybridMultilevel"/>
    <w:tmpl w:val="6D12EBB0"/>
    <w:lvl w:ilvl="0" w:tplc="90940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51140C"/>
    <w:multiLevelType w:val="hybridMultilevel"/>
    <w:tmpl w:val="0D467EFA"/>
    <w:lvl w:ilvl="0" w:tplc="9D4029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3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6"/>
  </w:num>
  <w:num w:numId="18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2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1305D"/>
    <w:rsid w:val="000144C8"/>
    <w:rsid w:val="00021A9E"/>
    <w:rsid w:val="00031EE9"/>
    <w:rsid w:val="00036B4D"/>
    <w:rsid w:val="000557CB"/>
    <w:rsid w:val="000611D6"/>
    <w:rsid w:val="0008707F"/>
    <w:rsid w:val="000A2261"/>
    <w:rsid w:val="000A272C"/>
    <w:rsid w:val="000C227D"/>
    <w:rsid w:val="000F2B0A"/>
    <w:rsid w:val="000F3472"/>
    <w:rsid w:val="000F3A69"/>
    <w:rsid w:val="000F3BE7"/>
    <w:rsid w:val="0010537C"/>
    <w:rsid w:val="00105547"/>
    <w:rsid w:val="00121915"/>
    <w:rsid w:val="00141471"/>
    <w:rsid w:val="00141F9B"/>
    <w:rsid w:val="00142C4C"/>
    <w:rsid w:val="00143998"/>
    <w:rsid w:val="00154838"/>
    <w:rsid w:val="0016662E"/>
    <w:rsid w:val="00180449"/>
    <w:rsid w:val="00184863"/>
    <w:rsid w:val="00194DC7"/>
    <w:rsid w:val="001A5964"/>
    <w:rsid w:val="001B037A"/>
    <w:rsid w:val="001B622D"/>
    <w:rsid w:val="001E7DBF"/>
    <w:rsid w:val="001F1608"/>
    <w:rsid w:val="00203C84"/>
    <w:rsid w:val="00220538"/>
    <w:rsid w:val="00225841"/>
    <w:rsid w:val="0022754D"/>
    <w:rsid w:val="00246D9B"/>
    <w:rsid w:val="00251ABC"/>
    <w:rsid w:val="002717E3"/>
    <w:rsid w:val="002727E7"/>
    <w:rsid w:val="00280706"/>
    <w:rsid w:val="002868A4"/>
    <w:rsid w:val="00294CBB"/>
    <w:rsid w:val="002A3D0C"/>
    <w:rsid w:val="002B01E9"/>
    <w:rsid w:val="002B6F11"/>
    <w:rsid w:val="002D69E9"/>
    <w:rsid w:val="002E4A54"/>
    <w:rsid w:val="003026E5"/>
    <w:rsid w:val="00305169"/>
    <w:rsid w:val="0031520D"/>
    <w:rsid w:val="00315F3A"/>
    <w:rsid w:val="00321CAD"/>
    <w:rsid w:val="00325138"/>
    <w:rsid w:val="00331172"/>
    <w:rsid w:val="00336F4A"/>
    <w:rsid w:val="003615F3"/>
    <w:rsid w:val="003740E2"/>
    <w:rsid w:val="003753A3"/>
    <w:rsid w:val="003C63F7"/>
    <w:rsid w:val="003E1BBC"/>
    <w:rsid w:val="00400CA3"/>
    <w:rsid w:val="00420D95"/>
    <w:rsid w:val="00436DD8"/>
    <w:rsid w:val="00444E2D"/>
    <w:rsid w:val="00446668"/>
    <w:rsid w:val="00460978"/>
    <w:rsid w:val="0046262F"/>
    <w:rsid w:val="00484086"/>
    <w:rsid w:val="004871F6"/>
    <w:rsid w:val="004A1DE5"/>
    <w:rsid w:val="004B22E7"/>
    <w:rsid w:val="004B38EC"/>
    <w:rsid w:val="004B51C1"/>
    <w:rsid w:val="004C6EDE"/>
    <w:rsid w:val="00501590"/>
    <w:rsid w:val="0052081C"/>
    <w:rsid w:val="00531BBD"/>
    <w:rsid w:val="00531D80"/>
    <w:rsid w:val="005425CE"/>
    <w:rsid w:val="00556182"/>
    <w:rsid w:val="00563E0D"/>
    <w:rsid w:val="00567491"/>
    <w:rsid w:val="00576A44"/>
    <w:rsid w:val="00582FAF"/>
    <w:rsid w:val="00590D87"/>
    <w:rsid w:val="0059529A"/>
    <w:rsid w:val="00595779"/>
    <w:rsid w:val="005A1518"/>
    <w:rsid w:val="005B4718"/>
    <w:rsid w:val="005C3CD6"/>
    <w:rsid w:val="005F76AA"/>
    <w:rsid w:val="0061489C"/>
    <w:rsid w:val="006178D9"/>
    <w:rsid w:val="00620BFE"/>
    <w:rsid w:val="006210B8"/>
    <w:rsid w:val="00646922"/>
    <w:rsid w:val="00673FEB"/>
    <w:rsid w:val="006835A2"/>
    <w:rsid w:val="0069624B"/>
    <w:rsid w:val="006965FB"/>
    <w:rsid w:val="006976D9"/>
    <w:rsid w:val="006B04C8"/>
    <w:rsid w:val="006B0C94"/>
    <w:rsid w:val="006F4528"/>
    <w:rsid w:val="007120B6"/>
    <w:rsid w:val="00712797"/>
    <w:rsid w:val="00716695"/>
    <w:rsid w:val="00720BE6"/>
    <w:rsid w:val="00743022"/>
    <w:rsid w:val="00746173"/>
    <w:rsid w:val="00754168"/>
    <w:rsid w:val="00766BF4"/>
    <w:rsid w:val="00790158"/>
    <w:rsid w:val="007916DA"/>
    <w:rsid w:val="00794693"/>
    <w:rsid w:val="0079684B"/>
    <w:rsid w:val="007A788B"/>
    <w:rsid w:val="007B60B6"/>
    <w:rsid w:val="007C30A9"/>
    <w:rsid w:val="007C69F1"/>
    <w:rsid w:val="007C6FEC"/>
    <w:rsid w:val="007D2ED0"/>
    <w:rsid w:val="007E5893"/>
    <w:rsid w:val="00801621"/>
    <w:rsid w:val="00803F94"/>
    <w:rsid w:val="00824C7B"/>
    <w:rsid w:val="008368AC"/>
    <w:rsid w:val="0085735E"/>
    <w:rsid w:val="00876A1A"/>
    <w:rsid w:val="00897551"/>
    <w:rsid w:val="008A3B6B"/>
    <w:rsid w:val="008C23EF"/>
    <w:rsid w:val="008C28B0"/>
    <w:rsid w:val="008C451F"/>
    <w:rsid w:val="008E2929"/>
    <w:rsid w:val="008F3843"/>
    <w:rsid w:val="00906D1E"/>
    <w:rsid w:val="00916125"/>
    <w:rsid w:val="009202B9"/>
    <w:rsid w:val="009242FE"/>
    <w:rsid w:val="00926ABE"/>
    <w:rsid w:val="00946CA8"/>
    <w:rsid w:val="00960D20"/>
    <w:rsid w:val="0098029C"/>
    <w:rsid w:val="00994B98"/>
    <w:rsid w:val="00995BA4"/>
    <w:rsid w:val="009A0C46"/>
    <w:rsid w:val="009A56EB"/>
    <w:rsid w:val="009C0BE1"/>
    <w:rsid w:val="009C103D"/>
    <w:rsid w:val="009E1D8A"/>
    <w:rsid w:val="00A07205"/>
    <w:rsid w:val="00A147F8"/>
    <w:rsid w:val="00A206E2"/>
    <w:rsid w:val="00A22601"/>
    <w:rsid w:val="00A24BFA"/>
    <w:rsid w:val="00A25087"/>
    <w:rsid w:val="00A45007"/>
    <w:rsid w:val="00A501AC"/>
    <w:rsid w:val="00A51A84"/>
    <w:rsid w:val="00A62710"/>
    <w:rsid w:val="00A715D7"/>
    <w:rsid w:val="00A7246D"/>
    <w:rsid w:val="00A740A1"/>
    <w:rsid w:val="00A80502"/>
    <w:rsid w:val="00AA5E26"/>
    <w:rsid w:val="00AA7FE9"/>
    <w:rsid w:val="00AD20EC"/>
    <w:rsid w:val="00AF2D4B"/>
    <w:rsid w:val="00AF3D07"/>
    <w:rsid w:val="00AF6D33"/>
    <w:rsid w:val="00AF794E"/>
    <w:rsid w:val="00B130D9"/>
    <w:rsid w:val="00B13D0E"/>
    <w:rsid w:val="00B21149"/>
    <w:rsid w:val="00B3293F"/>
    <w:rsid w:val="00B37BC0"/>
    <w:rsid w:val="00B4266F"/>
    <w:rsid w:val="00B54D20"/>
    <w:rsid w:val="00B70DDC"/>
    <w:rsid w:val="00B7254F"/>
    <w:rsid w:val="00B72B1F"/>
    <w:rsid w:val="00BA2363"/>
    <w:rsid w:val="00BC44D1"/>
    <w:rsid w:val="00BC7853"/>
    <w:rsid w:val="00BE00E4"/>
    <w:rsid w:val="00BF121C"/>
    <w:rsid w:val="00BF7688"/>
    <w:rsid w:val="00C0154D"/>
    <w:rsid w:val="00C0600F"/>
    <w:rsid w:val="00C12A33"/>
    <w:rsid w:val="00C312AA"/>
    <w:rsid w:val="00C32A99"/>
    <w:rsid w:val="00C431AB"/>
    <w:rsid w:val="00C44EAC"/>
    <w:rsid w:val="00C45136"/>
    <w:rsid w:val="00C83403"/>
    <w:rsid w:val="00CA267B"/>
    <w:rsid w:val="00CB0985"/>
    <w:rsid w:val="00CB53AC"/>
    <w:rsid w:val="00CB6B8E"/>
    <w:rsid w:val="00CB7673"/>
    <w:rsid w:val="00CC5FDC"/>
    <w:rsid w:val="00CD2F01"/>
    <w:rsid w:val="00D003CA"/>
    <w:rsid w:val="00D1462A"/>
    <w:rsid w:val="00D230B4"/>
    <w:rsid w:val="00D64BDF"/>
    <w:rsid w:val="00D9611D"/>
    <w:rsid w:val="00D96803"/>
    <w:rsid w:val="00DB143D"/>
    <w:rsid w:val="00DB4EF8"/>
    <w:rsid w:val="00DD5418"/>
    <w:rsid w:val="00DF2ABA"/>
    <w:rsid w:val="00E2461F"/>
    <w:rsid w:val="00E2479C"/>
    <w:rsid w:val="00E26402"/>
    <w:rsid w:val="00E30DA8"/>
    <w:rsid w:val="00E316C8"/>
    <w:rsid w:val="00E33F4B"/>
    <w:rsid w:val="00E51B7E"/>
    <w:rsid w:val="00E61C30"/>
    <w:rsid w:val="00E67564"/>
    <w:rsid w:val="00E86568"/>
    <w:rsid w:val="00E90805"/>
    <w:rsid w:val="00E97BC6"/>
    <w:rsid w:val="00EA02A1"/>
    <w:rsid w:val="00EA0846"/>
    <w:rsid w:val="00EB2DF0"/>
    <w:rsid w:val="00EC4652"/>
    <w:rsid w:val="00ED3999"/>
    <w:rsid w:val="00EE24B1"/>
    <w:rsid w:val="00EE25CA"/>
    <w:rsid w:val="00EF6EB7"/>
    <w:rsid w:val="00F03E2B"/>
    <w:rsid w:val="00F20644"/>
    <w:rsid w:val="00F27B05"/>
    <w:rsid w:val="00F311C4"/>
    <w:rsid w:val="00F33BCA"/>
    <w:rsid w:val="00F35FD0"/>
    <w:rsid w:val="00F422A7"/>
    <w:rsid w:val="00F51C0D"/>
    <w:rsid w:val="00F66E0B"/>
    <w:rsid w:val="00F725F7"/>
    <w:rsid w:val="00F731CE"/>
    <w:rsid w:val="00F73914"/>
    <w:rsid w:val="00FB4CFA"/>
    <w:rsid w:val="00FC3A07"/>
    <w:rsid w:val="00F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C4B0B1"/>
  <w15:docId w15:val="{6A2F8C69-5B25-4CA5-9C5C-6AE59774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hu-HU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89C"/>
    <w:rPr>
      <w:rFonts w:ascii="Times New Roman" w:eastAsia="Times New Roman" w:hAnsi="Times New Roman"/>
      <w:lang w:val="hu-H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89C"/>
    <w:rPr>
      <w:rFonts w:ascii="Times New Roman" w:eastAsia="Times New Roman" w:hAnsi="Times New Roman"/>
      <w:b/>
      <w:bCs/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BAF2-E70D-4080-B0F9-05EB3048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964</Words>
  <Characters>7149</Characters>
  <Application>Microsoft Office Word</Application>
  <DocSecurity>0</DocSecurity>
  <Lines>155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Sabina Terteli</cp:lastModifiedBy>
  <cp:revision>6</cp:revision>
  <cp:lastPrinted>2023-03-20T07:56:00Z</cp:lastPrinted>
  <dcterms:created xsi:type="dcterms:W3CDTF">2023-03-15T11:27:00Z</dcterms:created>
  <dcterms:modified xsi:type="dcterms:W3CDTF">2023-03-21T09:24:00Z</dcterms:modified>
</cp:coreProperties>
</file>